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温州市人力资源和社会保障局</w:t>
      </w:r>
    </w:p>
    <w:p>
      <w:pPr>
        <w:pStyle w:val="4"/>
        <w:spacing w:before="0" w:beforeAutospacing="0" w:after="0" w:afterAutospacing="0" w:line="600" w:lineRule="exact"/>
        <w:jc w:val="center"/>
        <w:rPr>
          <w:rStyle w:val="7"/>
          <w:rFonts w:ascii="微软雅黑" w:hAnsi="微软雅黑" w:eastAsia="微软雅黑" w:cs="微软雅黑"/>
          <w:color w:val="00000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行政执法统计年报</w:t>
      </w:r>
    </w:p>
    <w:p>
      <w:pPr>
        <w:pStyle w:val="4"/>
        <w:spacing w:before="0" w:beforeAutospacing="0" w:after="0" w:afterAutospacing="0" w:line="600" w:lineRule="exact"/>
        <w:jc w:val="center"/>
        <w:rPr>
          <w:rStyle w:val="7"/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 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目</w:t>
      </w:r>
      <w:r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 xml:space="preserve">   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录</w:t>
      </w:r>
    </w:p>
    <w:p>
      <w:pPr>
        <w:pStyle w:val="4"/>
        <w:spacing w:before="0" w:beforeAutospacing="0" w:after="0" w:afterAutospacing="0"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第一部分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温州市人力社保局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年度行政执法数据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行政处罚实施情况统计表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行政许可实施情况统计表</w:t>
      </w:r>
    </w:p>
    <w:p>
      <w:pPr>
        <w:pStyle w:val="4"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三、行政强制实施情况统计表</w:t>
      </w:r>
    </w:p>
    <w:p>
      <w:pPr>
        <w:pStyle w:val="4"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四、其他行政执法行为实施情况统计表</w:t>
      </w:r>
    </w:p>
    <w:p>
      <w:pPr>
        <w:pStyle w:val="4"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第二部分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温州市人力社保局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年度行政执法情况说明</w:t>
      </w:r>
    </w:p>
    <w:p>
      <w:pPr>
        <w:pStyle w:val="4"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spacing w:beforeAutospacing="0" w:afterAutospacing="0" w:line="60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pStyle w:val="4"/>
        <w:spacing w:beforeAutospacing="0" w:afterAutospacing="0" w:line="60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pStyle w:val="4"/>
        <w:spacing w:beforeAutospacing="0" w:afterAutospacing="0"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第一部分</w:t>
      </w:r>
      <w:r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 xml:space="preserve"> 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温州市人力社保局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2020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年度</w:t>
      </w:r>
    </w:p>
    <w:p>
      <w:pPr>
        <w:pStyle w:val="4"/>
        <w:spacing w:beforeAutospacing="0" w:afterAutospacing="0"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行政执法数据表</w:t>
      </w:r>
    </w:p>
    <w:p>
      <w:pPr>
        <w:pStyle w:val="4"/>
        <w:spacing w:beforeAutospacing="0" w:afterAutospacing="0" w:line="600" w:lineRule="exact"/>
        <w:jc w:val="center"/>
        <w:rPr>
          <w:bCs/>
          <w:sz w:val="44"/>
          <w:szCs w:val="44"/>
        </w:rPr>
      </w:pPr>
    </w:p>
    <w:p>
      <w:pPr>
        <w:pStyle w:val="4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表一：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  <w:t>2020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年度行政处罚实施情况统计表</w:t>
      </w:r>
    </w:p>
    <w:tbl>
      <w:tblPr>
        <w:tblStyle w:val="5"/>
        <w:tblW w:w="85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776"/>
        <w:gridCol w:w="1055"/>
        <w:gridCol w:w="899"/>
        <w:gridCol w:w="784"/>
        <w:gridCol w:w="899"/>
        <w:gridCol w:w="691"/>
        <w:gridCol w:w="776"/>
        <w:gridCol w:w="1108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51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行政处罚实施数量（宗）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警告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罚款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没收违法</w:t>
            </w:r>
          </w:p>
          <w:p>
            <w:pPr>
              <w:pStyle w:val="4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所得、没收</w:t>
            </w:r>
          </w:p>
          <w:p>
            <w:pPr>
              <w:pStyle w:val="4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非法财物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暂扣许可证、执照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责令停产停业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吊销许可证、执照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</w:t>
            </w:r>
          </w:p>
          <w:p>
            <w:pPr>
              <w:pStyle w:val="4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拘留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其他行政处罚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合计（宗）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罚没金额（万元）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</w:rPr>
              <w:t>75</w:t>
            </w:r>
          </w:p>
        </w:tc>
      </w:tr>
    </w:tbl>
    <w:p>
      <w:pPr>
        <w:pStyle w:val="4"/>
        <w:spacing w:beforeAutospacing="0" w:afterAutospacing="0" w:line="460" w:lineRule="exac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微软雅黑" w:hAnsi="微软雅黑" w:eastAsia="微软雅黑" w:cs="微软雅黑"/>
          <w:color w:val="000000"/>
          <w:sz w:val="22"/>
          <w:szCs w:val="2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说明：</w:t>
      </w:r>
    </w:p>
    <w:p>
      <w:pPr>
        <w:pStyle w:val="4"/>
        <w:spacing w:beforeAutospacing="0" w:afterAutospacing="0" w:line="460" w:lineRule="exact"/>
        <w:ind w:firstLine="42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color w:val="000000"/>
          <w:sz w:val="21"/>
          <w:szCs w:val="21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行政处罚实施数量的统计范围为统计年度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日至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12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31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日期间作出行政处罚决定的数量。</w:t>
      </w:r>
    </w:p>
    <w:p>
      <w:pPr>
        <w:pStyle w:val="4"/>
        <w:spacing w:beforeAutospacing="0" w:afterAutospacing="0" w:line="460" w:lineRule="exact"/>
        <w:ind w:firstLine="42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color w:val="000000"/>
          <w:sz w:val="21"/>
          <w:szCs w:val="21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）警告，（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2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）罚款，（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3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）没收违法所得、没收非法财物，（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4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）暂扣许可证、执照，（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5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）责令停产停业，（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6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）吊销许可证、执照，（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7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）行政拘留。</w:t>
      </w:r>
    </w:p>
    <w:p>
      <w:pPr>
        <w:pStyle w:val="4"/>
        <w:spacing w:beforeAutospacing="0" w:afterAutospacing="0" w:line="460" w:lineRule="exact"/>
        <w:ind w:firstLine="42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color w:val="000000"/>
          <w:sz w:val="21"/>
          <w:szCs w:val="21"/>
        </w:rPr>
        <w:t>3.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“没收违法所得、没收非法财物”能确定金额的，计入“罚没金额”；不能确定金额的，不计入“罚没金额”。</w:t>
      </w:r>
    </w:p>
    <w:p>
      <w:pPr>
        <w:pStyle w:val="4"/>
        <w:spacing w:beforeAutospacing="0" w:afterAutospacing="0" w:line="460" w:lineRule="exact"/>
        <w:ind w:firstLine="42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color w:val="000000"/>
          <w:sz w:val="21"/>
          <w:szCs w:val="21"/>
        </w:rPr>
        <w:t>4.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“罚没金额”以处罚决定书确定的金额为准。</w:t>
      </w:r>
    </w:p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表二：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年度行政许可实施情况统计表</w:t>
      </w:r>
    </w:p>
    <w:tbl>
      <w:tblPr>
        <w:tblStyle w:val="5"/>
        <w:tblW w:w="86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1980"/>
        <w:gridCol w:w="1428"/>
        <w:gridCol w:w="1992"/>
        <w:gridCol w:w="16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</w:trPr>
        <w:tc>
          <w:tcPr>
            <w:tcW w:w="8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行政许可实施数量（宗）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申请数量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受理数量</w:t>
            </w:r>
          </w:p>
        </w:tc>
        <w:tc>
          <w:tcPr>
            <w:tcW w:w="1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许可数量</w:t>
            </w:r>
          </w:p>
        </w:tc>
        <w:tc>
          <w:tcPr>
            <w:tcW w:w="1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不予许可数量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撤销许可数量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pacing w:before="100" w:after="100" w:line="500" w:lineRule="exact"/>
        <w:jc w:val="lef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ascii="微软雅黑" w:hAnsi="微软雅黑" w:eastAsia="微软雅黑" w:cs="宋体"/>
          <w:kern w:val="0"/>
          <w:sz w:val="23"/>
          <w:szCs w:val="23"/>
        </w:rPr>
        <w:t> </w:t>
      </w:r>
      <w:r>
        <w:rPr>
          <w:rFonts w:hint="eastAsia" w:ascii="仿宋_GB2312" w:hAnsi="仿宋_GB2312" w:eastAsia="仿宋_GB2312" w:cs="仿宋_GB2312"/>
          <w:kern w:val="0"/>
          <w:szCs w:val="21"/>
        </w:rPr>
        <w:t>说明：</w:t>
      </w:r>
    </w:p>
    <w:p>
      <w:pPr>
        <w:widowControl/>
        <w:spacing w:before="100" w:after="100" w:line="500" w:lineRule="exact"/>
        <w:ind w:firstLine="480"/>
        <w:jc w:val="lef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ascii="仿宋_GB2312" w:hAnsi="仿宋_GB2312" w:eastAsia="仿宋_GB2312" w:cs="仿宋_GB2312"/>
          <w:kern w:val="0"/>
          <w:szCs w:val="21"/>
        </w:rPr>
        <w:t>1.</w:t>
      </w:r>
      <w:r>
        <w:rPr>
          <w:rFonts w:hint="eastAsia" w:ascii="仿宋_GB2312" w:hAnsi="仿宋_GB2312" w:eastAsia="仿宋_GB2312" w:cs="仿宋_GB2312"/>
          <w:kern w:val="0"/>
          <w:szCs w:val="21"/>
        </w:rPr>
        <w:t>“申请数量”的统计范围为统计年度</w:t>
      </w:r>
      <w:r>
        <w:rPr>
          <w:rFonts w:ascii="仿宋_GB2312" w:hAnsi="仿宋_GB2312" w:eastAsia="仿宋_GB2312" w:cs="仿宋_GB2312"/>
          <w:kern w:val="0"/>
          <w:szCs w:val="21"/>
        </w:rPr>
        <w:t>1</w:t>
      </w:r>
      <w:r>
        <w:rPr>
          <w:rFonts w:hint="eastAsia" w:ascii="仿宋_GB2312" w:hAnsi="仿宋_GB2312" w:eastAsia="仿宋_GB2312" w:cs="仿宋_GB2312"/>
          <w:kern w:val="0"/>
          <w:szCs w:val="21"/>
        </w:rPr>
        <w:t>月</w:t>
      </w:r>
      <w:r>
        <w:rPr>
          <w:rFonts w:ascii="仿宋_GB2312" w:hAnsi="仿宋_GB2312" w:eastAsia="仿宋_GB2312" w:cs="仿宋_GB2312"/>
          <w:kern w:val="0"/>
          <w:szCs w:val="21"/>
        </w:rPr>
        <w:t>1</w:t>
      </w:r>
      <w:r>
        <w:rPr>
          <w:rFonts w:hint="eastAsia" w:ascii="仿宋_GB2312" w:hAnsi="仿宋_GB2312" w:eastAsia="仿宋_GB2312" w:cs="仿宋_GB2312"/>
          <w:kern w:val="0"/>
          <w:szCs w:val="21"/>
        </w:rPr>
        <w:t>日至</w:t>
      </w:r>
      <w:r>
        <w:rPr>
          <w:rFonts w:ascii="仿宋_GB2312" w:hAnsi="仿宋_GB2312" w:eastAsia="仿宋_GB2312" w:cs="仿宋_GB2312"/>
          <w:kern w:val="0"/>
          <w:szCs w:val="21"/>
        </w:rPr>
        <w:t>12</w:t>
      </w:r>
      <w:r>
        <w:rPr>
          <w:rFonts w:hint="eastAsia" w:ascii="仿宋_GB2312" w:hAnsi="仿宋_GB2312" w:eastAsia="仿宋_GB2312" w:cs="仿宋_GB2312"/>
          <w:kern w:val="0"/>
          <w:szCs w:val="21"/>
        </w:rPr>
        <w:t>月</w:t>
      </w:r>
      <w:r>
        <w:rPr>
          <w:rFonts w:ascii="仿宋_GB2312" w:hAnsi="仿宋_GB2312" w:eastAsia="仿宋_GB2312" w:cs="仿宋_GB2312"/>
          <w:kern w:val="0"/>
          <w:szCs w:val="21"/>
        </w:rPr>
        <w:t>31</w:t>
      </w:r>
      <w:r>
        <w:rPr>
          <w:rFonts w:hint="eastAsia" w:ascii="仿宋_GB2312" w:hAnsi="仿宋_GB2312" w:eastAsia="仿宋_GB2312" w:cs="仿宋_GB2312"/>
          <w:kern w:val="0"/>
          <w:szCs w:val="21"/>
        </w:rPr>
        <w:t>日期间许可机关收到当事人许可申请的数量。</w:t>
      </w:r>
    </w:p>
    <w:p>
      <w:pPr>
        <w:pStyle w:val="4"/>
        <w:spacing w:beforeAutospacing="0" w:afterAutospacing="0" w:line="500" w:lineRule="exact"/>
        <w:rPr>
          <w:rStyle w:val="7"/>
          <w:rFonts w:ascii="仿宋_GB2312" w:hAnsi="仿宋_GB2312" w:eastAsia="仿宋_GB2312" w:cs="仿宋_GB2312"/>
          <w:b w:val="0"/>
          <w:bCs/>
          <w:sz w:val="21"/>
          <w:szCs w:val="21"/>
        </w:rPr>
      </w:pPr>
      <w:r>
        <w:rPr>
          <w:rFonts w:ascii="仿宋_GB2312" w:hAnsi="仿宋_GB2312" w:eastAsia="仿宋_GB2312" w:cs="仿宋_GB2312"/>
          <w:sz w:val="21"/>
          <w:szCs w:val="21"/>
        </w:rPr>
        <w:t xml:space="preserve">    2.</w:t>
      </w:r>
      <w:r>
        <w:rPr>
          <w:rFonts w:hint="eastAsia" w:ascii="仿宋_GB2312" w:hAnsi="仿宋_GB2312" w:eastAsia="仿宋_GB2312" w:cs="仿宋_GB2312"/>
          <w:sz w:val="21"/>
          <w:szCs w:val="21"/>
        </w:rPr>
        <w:t>“受理数量”、“许可数量”、“不予许可数量”、“撤销许可数量”的统计范围为统计年度</w:t>
      </w:r>
      <w:r>
        <w:rPr>
          <w:rFonts w:ascii="仿宋_GB2312" w:hAnsi="仿宋_GB2312" w:eastAsia="仿宋_GB2312" w:cs="仿宋_GB2312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ascii="仿宋_GB2312" w:hAnsi="仿宋_GB2312" w:eastAsia="仿宋_GB2312" w:cs="仿宋_GB2312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日至</w:t>
      </w:r>
      <w:r>
        <w:rPr>
          <w:rFonts w:ascii="仿宋_GB2312" w:hAnsi="仿宋_GB2312" w:eastAsia="仿宋_GB2312" w:cs="仿宋_GB2312"/>
          <w:sz w:val="21"/>
          <w:szCs w:val="21"/>
        </w:rPr>
        <w:t>12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ascii="仿宋_GB2312" w:hAnsi="仿宋_GB2312" w:eastAsia="仿宋_GB2312" w:cs="仿宋_GB2312"/>
          <w:sz w:val="21"/>
          <w:szCs w:val="21"/>
        </w:rPr>
        <w:t>31</w:t>
      </w:r>
      <w:r>
        <w:rPr>
          <w:rFonts w:hint="eastAsia" w:ascii="仿宋_GB2312" w:hAnsi="仿宋_GB2312" w:eastAsia="仿宋_GB2312" w:cs="仿宋_GB2312"/>
          <w:sz w:val="21"/>
          <w:szCs w:val="21"/>
        </w:rPr>
        <w:t>日期间许可机关作出受理决定、许可决定、不予许可决定和撤销许可决定的数量。</w:t>
      </w:r>
    </w:p>
    <w:p>
      <w:pPr>
        <w:pStyle w:val="4"/>
        <w:spacing w:beforeAutospacing="0" w:afterAutospacing="0"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</w:p>
    <w:p>
      <w:pPr>
        <w:pStyle w:val="4"/>
        <w:spacing w:beforeAutospacing="0" w:afterAutospacing="0"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</w:p>
    <w:p>
      <w:pPr>
        <w:pStyle w:val="4"/>
        <w:spacing w:beforeAutospacing="0" w:afterAutospacing="0"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</w:p>
    <w:p>
      <w:pPr>
        <w:pStyle w:val="4"/>
        <w:spacing w:beforeAutospacing="0" w:afterAutospacing="0"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</w:p>
    <w:p>
      <w:pPr>
        <w:pStyle w:val="4"/>
        <w:spacing w:beforeAutospacing="0" w:afterAutospacing="0"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</w:p>
    <w:p>
      <w:pPr>
        <w:pStyle w:val="4"/>
        <w:spacing w:beforeAutospacing="0" w:afterAutospacing="0"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</w:p>
    <w:p>
      <w:pPr>
        <w:pStyle w:val="4"/>
        <w:spacing w:beforeAutospacing="0" w:afterAutospacing="0"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</w:p>
    <w:p>
      <w:pPr>
        <w:pStyle w:val="4"/>
        <w:spacing w:beforeAutospacing="0" w:afterAutospacing="0"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</w:p>
    <w:p>
      <w:pPr>
        <w:pStyle w:val="4"/>
        <w:spacing w:beforeAutospacing="0" w:afterAutospacing="0" w:line="60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</w:p>
    <w:p>
      <w:pPr>
        <w:pStyle w:val="4"/>
        <w:spacing w:beforeAutospacing="0" w:afterAutospacing="0" w:line="60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</w:p>
    <w:p>
      <w:pPr>
        <w:pStyle w:val="4"/>
        <w:spacing w:beforeAutospacing="0" w:afterAutospacing="0" w:line="600" w:lineRule="exact"/>
        <w:jc w:val="center"/>
        <w:rPr>
          <w:bCs/>
          <w:sz w:val="32"/>
          <w:szCs w:val="32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表三：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  <w:t>2020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年度行政强制实施情况统计表</w:t>
      </w:r>
    </w:p>
    <w:tbl>
      <w:tblPr>
        <w:tblStyle w:val="5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678"/>
        <w:gridCol w:w="833"/>
        <w:gridCol w:w="678"/>
        <w:gridCol w:w="625"/>
        <w:gridCol w:w="764"/>
        <w:gridCol w:w="955"/>
        <w:gridCol w:w="828"/>
        <w:gridCol w:w="609"/>
        <w:gridCol w:w="610"/>
        <w:gridCol w:w="610"/>
        <w:gridCol w:w="493"/>
      </w:tblGrid>
      <w:tr>
        <w:tc>
          <w:tcPr>
            <w:tcW w:w="30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hint="eastAsia"/>
                <w:spacing w:val="-20"/>
              </w:rPr>
              <w:t>行政强制措施实施数量（宗）</w:t>
            </w:r>
          </w:p>
        </w:tc>
        <w:tc>
          <w:tcPr>
            <w:tcW w:w="500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hint="eastAsia"/>
              </w:rPr>
              <w:t>行政强制执行实施数量（宗）</w:t>
            </w:r>
          </w:p>
        </w:tc>
        <w:tc>
          <w:tcPr>
            <w:tcW w:w="49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hint="eastAsia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hint="eastAsia"/>
              </w:rPr>
              <w:t>查封场所、设施或者财物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hint="eastAsia"/>
              </w:rPr>
              <w:t>扣押财物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hint="eastAsia"/>
              </w:rPr>
              <w:t>冻结存款、汇款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hint="eastAsia"/>
              </w:rPr>
              <w:t>其他行政强制措施</w:t>
            </w:r>
          </w:p>
        </w:tc>
        <w:tc>
          <w:tcPr>
            <w:tcW w:w="439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hint="eastAsia"/>
              </w:rPr>
              <w:t>行政机关强制执行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hint="eastAsia"/>
              </w:rPr>
              <w:t>申请法院强制执行</w:t>
            </w:r>
          </w:p>
        </w:tc>
        <w:tc>
          <w:tcPr>
            <w:tcW w:w="49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hint="eastAsia"/>
              </w:rPr>
              <w:t>加处罚款或者滞纳金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hint="eastAsia"/>
              </w:rPr>
              <w:t>划拨存款、汇款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hint="eastAsia"/>
              </w:rPr>
              <w:t>拍卖或者依法处理查封、扣押的场所、设施或者财物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hint="eastAsia"/>
              </w:rPr>
              <w:t>排除妨碍、恢复原状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hint="eastAsia"/>
              </w:rPr>
              <w:t>代履行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hint="eastAsia"/>
              </w:rPr>
              <w:t>其他强制执行</w:t>
            </w: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320" w:lineRule="exac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0</w:t>
            </w:r>
          </w:p>
        </w:tc>
      </w:tr>
    </w:tbl>
    <w:p>
      <w:pPr>
        <w:pStyle w:val="4"/>
        <w:spacing w:beforeAutospacing="0" w:afterAutospacing="0" w:line="400" w:lineRule="exac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color w:val="000000"/>
          <w:sz w:val="21"/>
          <w:szCs w:val="21"/>
        </w:rPr>
        <w:t> 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说明：</w:t>
      </w:r>
    </w:p>
    <w:p>
      <w:pPr>
        <w:pStyle w:val="4"/>
        <w:spacing w:beforeAutospacing="0" w:afterAutospacing="0" w:line="400" w:lineRule="exact"/>
        <w:ind w:firstLine="42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color w:val="000000"/>
          <w:sz w:val="21"/>
          <w:szCs w:val="21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“行政强制措施实施数量”的统计范围为统计年度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日至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12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31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日期间作出“查封场所、设施或者财物”、“扣押财务”、“冻结存款、汇款”或者“其他行政强制措施”决定的数量。</w:t>
      </w:r>
    </w:p>
    <w:p>
      <w:pPr>
        <w:pStyle w:val="4"/>
        <w:spacing w:beforeAutospacing="0" w:afterAutospacing="0" w:line="400" w:lineRule="exact"/>
        <w:ind w:firstLine="42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color w:val="000000"/>
          <w:sz w:val="21"/>
          <w:szCs w:val="21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“行政强制执行实施数量”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的统计范围为统计年度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日至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12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31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pStyle w:val="4"/>
        <w:spacing w:beforeAutospacing="0" w:afterAutospacing="0" w:line="400" w:lineRule="exact"/>
        <w:ind w:firstLine="42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color w:val="000000"/>
          <w:sz w:val="21"/>
          <w:szCs w:val="21"/>
        </w:rPr>
        <w:t>3.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“申请法院强制执行”数量的统计范围为统计年度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日至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12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31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日期间向法院申请强制执行的数量，时间以申请日期为准。</w:t>
      </w:r>
    </w:p>
    <w:p>
      <w:pPr>
        <w:pStyle w:val="4"/>
        <w:spacing w:beforeAutospacing="0" w:afterAutospacing="0" w:line="600" w:lineRule="exact"/>
        <w:rPr>
          <w:rFonts w:ascii="微软雅黑" w:hAnsi="微软雅黑" w:eastAsia="微软雅黑" w:cs="微软雅黑"/>
          <w:color w:val="000000"/>
          <w:sz w:val="22"/>
          <w:szCs w:val="22"/>
        </w:rPr>
      </w:pPr>
      <w:r>
        <w:rPr>
          <w:rFonts w:ascii="微软雅黑" w:hAnsi="微软雅黑" w:eastAsia="微软雅黑" w:cs="微软雅黑"/>
          <w:color w:val="000000"/>
          <w:sz w:val="22"/>
          <w:szCs w:val="22"/>
        </w:rPr>
        <w:t> </w:t>
      </w:r>
    </w:p>
    <w:p>
      <w:pPr>
        <w:pStyle w:val="4"/>
        <w:spacing w:beforeAutospacing="0" w:afterAutospacing="0" w:line="600" w:lineRule="exact"/>
        <w:rPr>
          <w:rFonts w:ascii="微软雅黑" w:hAnsi="微软雅黑" w:eastAsia="微软雅黑" w:cs="微软雅黑"/>
          <w:color w:val="000000"/>
          <w:sz w:val="22"/>
          <w:szCs w:val="22"/>
        </w:rPr>
      </w:pPr>
    </w:p>
    <w:p>
      <w:pPr>
        <w:pStyle w:val="4"/>
        <w:spacing w:beforeAutospacing="0" w:afterAutospacing="0" w:line="600" w:lineRule="exact"/>
        <w:rPr>
          <w:rFonts w:ascii="微软雅黑" w:hAnsi="微软雅黑" w:eastAsia="微软雅黑" w:cs="微软雅黑"/>
          <w:color w:val="000000"/>
          <w:sz w:val="22"/>
          <w:szCs w:val="22"/>
        </w:rPr>
      </w:pPr>
    </w:p>
    <w:p>
      <w:pPr>
        <w:pStyle w:val="4"/>
        <w:spacing w:beforeAutospacing="0" w:afterAutospacing="0" w:line="600" w:lineRule="exact"/>
      </w:pPr>
    </w:p>
    <w:p>
      <w:pPr>
        <w:pStyle w:val="4"/>
        <w:spacing w:beforeAutospacing="0" w:afterAutospacing="0" w:line="600" w:lineRule="exact"/>
        <w:ind w:firstLine="420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</w:p>
    <w:p>
      <w:pPr>
        <w:pStyle w:val="4"/>
        <w:spacing w:beforeAutospacing="0" w:afterAutospacing="0" w:line="600" w:lineRule="exact"/>
        <w:ind w:firstLine="42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表四：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  <w:t>2020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年度其他行政执法行为实施情况统计表</w:t>
      </w:r>
    </w:p>
    <w:tbl>
      <w:tblPr>
        <w:tblStyle w:val="5"/>
        <w:tblW w:w="86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831"/>
        <w:gridCol w:w="734"/>
        <w:gridCol w:w="583"/>
        <w:gridCol w:w="750"/>
        <w:gridCol w:w="914"/>
        <w:gridCol w:w="1161"/>
        <w:gridCol w:w="825"/>
        <w:gridCol w:w="634"/>
        <w:gridCol w:w="820"/>
        <w:gridCol w:w="7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行政征收</w:t>
            </w:r>
          </w:p>
        </w:tc>
        <w:tc>
          <w:tcPr>
            <w:tcW w:w="7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行政检查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行政裁决</w:t>
            </w:r>
          </w:p>
        </w:tc>
        <w:tc>
          <w:tcPr>
            <w:tcW w:w="20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行政给付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行政确认</w:t>
            </w:r>
          </w:p>
        </w:tc>
        <w:tc>
          <w:tcPr>
            <w:tcW w:w="14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行政奖励</w:t>
            </w:r>
          </w:p>
        </w:tc>
        <w:tc>
          <w:tcPr>
            <w:tcW w:w="7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其他行政执法行为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次数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征收总金额（万元）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次数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次数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涉及金额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次数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给付总金额（万元）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次数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次数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奖励总金额（万元）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</w:pPr>
            <w:r>
              <w:rPr>
                <w:rFonts w:hint="eastAsia"/>
              </w:rPr>
              <w:t>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2704533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792045.97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8305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4"/>
        <w:spacing w:beforeAutospacing="0" w:afterAutospacing="0" w:line="400" w:lineRule="exac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color w:val="000000"/>
          <w:sz w:val="21"/>
          <w:szCs w:val="21"/>
        </w:rPr>
        <w:t> 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说明：</w:t>
      </w:r>
    </w:p>
    <w:p>
      <w:pPr>
        <w:pStyle w:val="4"/>
        <w:spacing w:beforeAutospacing="0" w:afterAutospacing="0" w:line="400" w:lineRule="exact"/>
        <w:ind w:firstLine="42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color w:val="000000"/>
          <w:sz w:val="21"/>
          <w:szCs w:val="21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“行政征收次数”的统计范围为统计年度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日至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12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31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日期间征收完毕的数量。</w:t>
      </w:r>
    </w:p>
    <w:p>
      <w:pPr>
        <w:pStyle w:val="4"/>
        <w:spacing w:beforeAutospacing="0" w:afterAutospacing="0" w:line="400" w:lineRule="exact"/>
        <w:ind w:firstLine="42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color w:val="000000"/>
          <w:sz w:val="21"/>
          <w:szCs w:val="21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“行政检查次数”的统计范围为统计年度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日至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12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31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日期间开展行政检查的次数。检查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个检查对象，有完整、详细的检查记录，计为检查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次。无特定检查对象的巡查、巡逻，无完整、详细检查记录，检查后作出行政处罚等其他行政执法行为的，均不计为检查次数。</w:t>
      </w:r>
    </w:p>
    <w:p>
      <w:pPr>
        <w:pStyle w:val="4"/>
        <w:spacing w:beforeAutospacing="0" w:afterAutospacing="0" w:line="400" w:lineRule="exact"/>
        <w:ind w:firstLine="42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color w:val="000000"/>
          <w:sz w:val="21"/>
          <w:szCs w:val="21"/>
        </w:rPr>
        <w:t>3.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“行政裁决次数”、“行政确认次数”、“行政奖励次数”的统计范围为统计年度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日至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12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31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日期间作出行政裁决、行政确认、行政奖励决定的数量。</w:t>
      </w:r>
    </w:p>
    <w:p>
      <w:pPr>
        <w:pStyle w:val="4"/>
        <w:spacing w:beforeAutospacing="0" w:afterAutospacing="0" w:line="400" w:lineRule="exact"/>
        <w:ind w:firstLine="42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color w:val="000000"/>
          <w:sz w:val="21"/>
          <w:szCs w:val="21"/>
        </w:rPr>
        <w:t>4.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“行政给付次数”的统计范围为统计年度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日至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12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31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日期间给付完毕的数量。</w:t>
      </w:r>
    </w:p>
    <w:p>
      <w:pPr>
        <w:pStyle w:val="4"/>
        <w:spacing w:beforeAutospacing="0" w:afterAutospacing="0" w:line="400" w:lineRule="exact"/>
        <w:ind w:firstLine="42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color w:val="000000"/>
          <w:sz w:val="21"/>
          <w:szCs w:val="21"/>
        </w:rPr>
        <w:t>5.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“其他行政执法行为”的统计范围为统计年度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日至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12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</w:t>
      </w:r>
      <w:r>
        <w:rPr>
          <w:rFonts w:ascii="仿宋_GB2312" w:hAnsi="仿宋_GB2312" w:eastAsia="仿宋_GB2312" w:cs="仿宋_GB2312"/>
          <w:color w:val="000000"/>
          <w:sz w:val="21"/>
          <w:szCs w:val="21"/>
        </w:rPr>
        <w:t>31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日期间完成的宗数。</w:t>
      </w:r>
    </w:p>
    <w:p>
      <w:pPr>
        <w:pStyle w:val="4"/>
        <w:spacing w:beforeAutospacing="0" w:afterAutospacing="0" w:line="600" w:lineRule="exact"/>
        <w:rPr>
          <w:rFonts w:ascii="微软雅黑" w:hAnsi="微软雅黑" w:eastAsia="微软雅黑" w:cs="微软雅黑"/>
          <w:color w:val="000000"/>
          <w:sz w:val="22"/>
          <w:szCs w:val="22"/>
        </w:rPr>
      </w:pPr>
      <w:r>
        <w:rPr>
          <w:rFonts w:ascii="微软雅黑" w:hAnsi="微软雅黑" w:eastAsia="微软雅黑" w:cs="微软雅黑"/>
          <w:color w:val="000000"/>
          <w:sz w:val="22"/>
          <w:szCs w:val="22"/>
        </w:rPr>
        <w:t> </w:t>
      </w:r>
    </w:p>
    <w:p>
      <w:pPr>
        <w:pStyle w:val="4"/>
        <w:spacing w:beforeAutospacing="0" w:afterAutospacing="0" w:line="600" w:lineRule="exact"/>
        <w:rPr>
          <w:rFonts w:ascii="微软雅黑" w:hAnsi="微软雅黑" w:eastAsia="微软雅黑" w:cs="微软雅黑"/>
          <w:color w:val="000000"/>
          <w:sz w:val="22"/>
          <w:szCs w:val="22"/>
        </w:rPr>
      </w:pPr>
    </w:p>
    <w:p>
      <w:pPr>
        <w:pStyle w:val="4"/>
        <w:spacing w:beforeAutospacing="0" w:afterAutospacing="0" w:line="600" w:lineRule="exact"/>
        <w:rPr>
          <w:rFonts w:ascii="微软雅黑" w:hAnsi="微软雅黑" w:eastAsia="微软雅黑" w:cs="微软雅黑"/>
          <w:color w:val="000000"/>
          <w:sz w:val="22"/>
          <w:szCs w:val="22"/>
        </w:rPr>
      </w:pPr>
    </w:p>
    <w:p>
      <w:pPr>
        <w:pStyle w:val="4"/>
        <w:spacing w:beforeAutospacing="0" w:afterAutospacing="0" w:line="600" w:lineRule="exact"/>
        <w:rPr>
          <w:rFonts w:ascii="微软雅黑" w:hAnsi="微软雅黑" w:eastAsia="微软雅黑" w:cs="微软雅黑"/>
          <w:color w:val="000000"/>
          <w:sz w:val="22"/>
          <w:szCs w:val="22"/>
        </w:rPr>
      </w:pPr>
    </w:p>
    <w:p>
      <w:pPr>
        <w:pStyle w:val="4"/>
        <w:spacing w:beforeAutospacing="0" w:afterAutospacing="0" w:line="600" w:lineRule="exact"/>
        <w:rPr>
          <w:rFonts w:ascii="微软雅黑" w:hAnsi="微软雅黑" w:eastAsia="微软雅黑" w:cs="微软雅黑"/>
          <w:color w:val="000000"/>
          <w:sz w:val="22"/>
          <w:szCs w:val="22"/>
        </w:rPr>
      </w:pPr>
    </w:p>
    <w:p>
      <w:pPr>
        <w:pStyle w:val="4"/>
        <w:spacing w:beforeAutospacing="0" w:afterAutospacing="0" w:line="600" w:lineRule="exact"/>
        <w:rPr>
          <w:rFonts w:ascii="微软雅黑" w:hAnsi="微软雅黑" w:eastAsia="微软雅黑" w:cs="微软雅黑"/>
          <w:color w:val="000000"/>
          <w:sz w:val="22"/>
          <w:szCs w:val="22"/>
        </w:rPr>
      </w:pPr>
    </w:p>
    <w:p>
      <w:pPr>
        <w:pStyle w:val="4"/>
        <w:spacing w:beforeAutospacing="0" w:afterAutospacing="0" w:line="600" w:lineRule="exact"/>
        <w:rPr>
          <w:rFonts w:ascii="微软雅黑" w:hAnsi="微软雅黑" w:eastAsia="微软雅黑" w:cs="微软雅黑"/>
          <w:color w:val="000000"/>
          <w:sz w:val="22"/>
          <w:szCs w:val="22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第二部分</w:t>
      </w:r>
      <w:r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 xml:space="preserve"> 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温州市人力社保局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2020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年度</w:t>
      </w:r>
    </w:p>
    <w:p>
      <w:pPr>
        <w:pStyle w:val="4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行政执法情况说明</w:t>
      </w:r>
    </w:p>
    <w:p>
      <w:pPr>
        <w:pStyle w:val="4"/>
        <w:spacing w:before="0" w:beforeAutospacing="0" w:after="0" w:afterAutospacing="0" w:line="60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一、行政处罚实施情况说明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年度作出行政处罚决定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2件，处罚金额0.75万元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二、行政许可实施情况说明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年度行政许可申请总数为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155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宗，受理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155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宗，予以许可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105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宗，不予许可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宗，撤销许可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年度行政许可（含不予受理、予以许可和不予许可）被申请行政复议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宗。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年度行政许可（含不予受理、予以许可和不予许可）直接被提起行政诉讼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宗。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三、行政强制实施情况说明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年度未申请法院强制执行。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四、行政征收实施情况说明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年度行政征收总数为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次，征收总金额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五、行政检查实施情况说明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年度行政检查总数为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sz w:val="32"/>
          <w:szCs w:val="32"/>
        </w:rPr>
        <w:t>次。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年度行政检查被申请行政复议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宗。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年度行政检查直接被提起行政诉讼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宗。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六、行政裁决实施情况说明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年度行政裁决总数为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次，涉及总金额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七、行政给付实施情况说明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年度行政给付总数为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2704533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次，给付总金额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792045.97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年度行政给付被申请行政复议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宗。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年度行政给付直接被提起行政诉讼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宗。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八、行政确认实施情况说明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年度行政确认总数为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8305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次。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年度行政确认被申请行政复议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宗。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年度行政确认直接被提起行政诉讼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宗。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九、行政奖励实施情况说明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年度行政奖励总数为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次。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年度行政奖励被申请行政复议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宗。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年度行政奖励直接被提起行政诉讼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宗。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十、其他行政执法行为实施情况说明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年度其他行政执法行为总数为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宗。</w:t>
      </w:r>
    </w:p>
    <w:p>
      <w:pPr>
        <w:spacing w:line="600" w:lineRule="exac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- 6 -</w:t>
    </w:r>
    <w:r>
      <w:rPr>
        <w:rStyle w:val="8"/>
      </w:rPr>
      <w:fldChar w:fldCharType="end"/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684CF"/>
    <w:multiLevelType w:val="singleLevel"/>
    <w:tmpl w:val="BB6684CF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B"/>
    <w:rsid w:val="00133210"/>
    <w:rsid w:val="006E5C51"/>
    <w:rsid w:val="007460C2"/>
    <w:rsid w:val="00944C09"/>
    <w:rsid w:val="00B9733B"/>
    <w:rsid w:val="00D2755C"/>
    <w:rsid w:val="00D3048B"/>
    <w:rsid w:val="00F74FF1"/>
    <w:rsid w:val="00FA69D7"/>
    <w:rsid w:val="04F938BC"/>
    <w:rsid w:val="05E6280F"/>
    <w:rsid w:val="061B0265"/>
    <w:rsid w:val="0A8B41C4"/>
    <w:rsid w:val="0BE7248D"/>
    <w:rsid w:val="0CBA08C8"/>
    <w:rsid w:val="0E5756F6"/>
    <w:rsid w:val="18C260F5"/>
    <w:rsid w:val="21A2531C"/>
    <w:rsid w:val="2388706F"/>
    <w:rsid w:val="240D0D63"/>
    <w:rsid w:val="25CF2C67"/>
    <w:rsid w:val="38402546"/>
    <w:rsid w:val="391D2CDA"/>
    <w:rsid w:val="41016CE8"/>
    <w:rsid w:val="410E1F4D"/>
    <w:rsid w:val="4622567C"/>
    <w:rsid w:val="476E720D"/>
    <w:rsid w:val="486D777C"/>
    <w:rsid w:val="496B6030"/>
    <w:rsid w:val="4F881B80"/>
    <w:rsid w:val="50F41006"/>
    <w:rsid w:val="55520B5C"/>
    <w:rsid w:val="60D679F6"/>
    <w:rsid w:val="61253190"/>
    <w:rsid w:val="68452079"/>
    <w:rsid w:val="699B5ECD"/>
    <w:rsid w:val="6A2769AE"/>
    <w:rsid w:val="6CE17B51"/>
    <w:rsid w:val="74FE1B8D"/>
    <w:rsid w:val="75E63F89"/>
    <w:rsid w:val="782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FollowedHyperlink"/>
    <w:basedOn w:val="6"/>
    <w:semiHidden/>
    <w:qFormat/>
    <w:uiPriority w:val="99"/>
    <w:rPr>
      <w:rFonts w:cs="Times New Roman"/>
      <w:color w:val="333333"/>
      <w:u w:val="none"/>
    </w:rPr>
  </w:style>
  <w:style w:type="character" w:styleId="10">
    <w:name w:val="Hyperlink"/>
    <w:basedOn w:val="6"/>
    <w:semiHidden/>
    <w:qFormat/>
    <w:uiPriority w:val="99"/>
    <w:rPr>
      <w:rFonts w:cs="Times New Roman"/>
      <w:color w:val="333333"/>
      <w:u w:val="none"/>
    </w:rPr>
  </w:style>
  <w:style w:type="character" w:customStyle="1" w:styleId="11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12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3">
    <w:name w:val="bsharetext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427</Words>
  <Characters>2436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2020-03-10T00:35:00Z</dcterms:created>
  <dc:creator>PC</dc:creator>
  <cp:lastModifiedBy>灵芝</cp:lastModifiedBy>
  <cp:lastPrinted>2021-01-27T00:38:00Z</cp:lastPrinted>
  <dcterms:modified xsi:type="dcterms:W3CDTF">2021-01-27T08:31:05Z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