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0" w:name="_Toc15007"/>
      <w:r>
        <w:rPr>
          <w:rFonts w:hint="eastAsia" w:ascii="宋体" w:hAnsi="宋体" w:cs="宋体"/>
          <w:sz w:val="21"/>
          <w:szCs w:val="21"/>
        </w:rPr>
        <w:t>用户登录</w:t>
      </w:r>
      <w:bookmarkEnd w:id="0"/>
    </w:p>
    <w:p>
      <w:pPr>
        <w:pStyle w:val="13"/>
        <w:ind w:firstLine="42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打开任意浏览器（由于老版本的浏览器有兼容性问题，推荐使用火狐浏览器，或者更新您当前使用的浏览器），复制服务器地址到浏览器地址栏（或手动在浏览器地址栏输入服务器地址）效果如图1.1所示，随后点击键盘上的【Enter】键，即可进入本系统的登录页面，效果如图1.2所示，选择企业用户登录，</w:t>
      </w:r>
      <w:r>
        <w:rPr>
          <w:rFonts w:hint="eastAsia" w:ascii="宋体" w:hAnsi="宋体" w:cs="宋体"/>
          <w:color w:val="000000"/>
          <w:sz w:val="21"/>
          <w:szCs w:val="21"/>
        </w:rPr>
        <w:t>输入用户名、密码和验证码，点击【登录】按钮即可登录。</w:t>
      </w:r>
    </w:p>
    <w:p>
      <w:pPr>
        <w:pStyle w:val="13"/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服务器地址：</w:t>
      </w:r>
      <w:r>
        <w:fldChar w:fldCharType="begin"/>
      </w:r>
      <w:r>
        <w:instrText xml:space="preserve"> HYPERLINK "http://survey.mohrss.gov.cn/xcdc" </w:instrText>
      </w:r>
      <w:r>
        <w:fldChar w:fldCharType="separate"/>
      </w:r>
      <w:r>
        <w:rPr>
          <w:rStyle w:val="10"/>
          <w:rFonts w:hint="eastAsia" w:ascii="宋体" w:hAnsi="宋体" w:cs="宋体"/>
          <w:sz w:val="21"/>
          <w:szCs w:val="21"/>
        </w:rPr>
        <w:t>http://survey.mohrss.gov.cn/xcdc</w:t>
      </w:r>
      <w:r>
        <w:rPr>
          <w:rStyle w:val="10"/>
          <w:rFonts w:hint="eastAsia" w:ascii="宋体" w:hAnsi="宋体" w:cs="宋体"/>
          <w:sz w:val="21"/>
          <w:szCs w:val="21"/>
        </w:rPr>
        <w:fldChar w:fldCharType="end"/>
      </w:r>
    </w:p>
    <w:p>
      <w:pPr>
        <w:pStyle w:val="13"/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397510"/>
            <wp:effectExtent l="0" t="0" r="0" b="254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图1.1 服务器地址输入演示</w:t>
      </w:r>
    </w:p>
    <w:p>
      <w:pPr>
        <w:pStyle w:val="13"/>
        <w:jc w:val="center"/>
        <w:rPr>
          <w:rFonts w:ascii="宋体" w:hAnsi="宋体" w:cs="宋体"/>
          <w:color w:val="000000"/>
          <w:sz w:val="21"/>
          <w:szCs w:val="21"/>
        </w:rPr>
      </w:pPr>
      <w:r>
        <w:drawing>
          <wp:inline distT="0" distB="0" distL="114300" distR="114300">
            <wp:extent cx="5267960" cy="2610485"/>
            <wp:effectExtent l="0" t="0" r="508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jc w:val="center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图1.2 企业用户登录界面</w:t>
      </w:r>
    </w:p>
    <w:p>
      <w:pPr>
        <w:pStyle w:val="13"/>
        <w:ind w:firstLine="42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企业用户登录成功后，由于是默认密码，系统会强制进行密码修改的操作，界面</w:t>
      </w:r>
      <w:bookmarkStart w:id="12" w:name="_GoBack"/>
      <w:bookmarkEnd w:id="12"/>
      <w:r>
        <w:rPr>
          <w:rFonts w:hint="eastAsia" w:ascii="宋体" w:hAnsi="宋体" w:cs="宋体"/>
          <w:color w:val="000000"/>
          <w:sz w:val="21"/>
          <w:szCs w:val="21"/>
        </w:rPr>
        <w:t>如图1.3所示，输入原密码和新密码（注意保管好新密码），点击【保存】按钮，如果检查通过则弹出提示“修改密码成功”，点击【确定】按钮，即可完成修改密码，然后系统跳转回登录页面，再使用新密码登录即可进入系统主界面；如果检查不通过则弹出相应的提示信息，按照提示信息进行修改即可。</w:t>
      </w:r>
    </w:p>
    <w:p>
      <w:pPr>
        <w:pStyle w:val="13"/>
        <w:ind w:firstLine="420"/>
        <w:jc w:val="center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4206240" cy="2621280"/>
            <wp:effectExtent l="0" t="0" r="0" b="0"/>
            <wp:docPr id="1" name="图片 1" descr="2ed70769bd11af77c311039c718d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d70769bd11af77c311039c718df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420"/>
        <w:jc w:val="center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图1.3 企业用户密码修改界面</w:t>
      </w:r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1" w:name="_Toc30950"/>
      <w:r>
        <w:rPr>
          <w:rFonts w:hint="eastAsia" w:ascii="宋体" w:hAnsi="宋体" w:cs="宋体"/>
          <w:sz w:val="21"/>
          <w:szCs w:val="21"/>
        </w:rPr>
        <w:t>系统主界面简介</w:t>
      </w:r>
      <w:bookmarkEnd w:id="1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用户登录成功后即可进入系统主界面，系统主界面如图1.4所示。页面正中间的内容为当前企业需要填报的所有问卷的基本信息。右上角的两个按钮分别为【首页】和【退出】，当点击【首页】按钮时，从当前页面跳转回系统首页；当点击【退出】按钮时，当前用户退出登录，同时跳转回系统登录页面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463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图1.4 企业用户系统主页</w:t>
      </w:r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2" w:name="_Toc29532"/>
      <w:r>
        <w:rPr>
          <w:rFonts w:hint="eastAsia" w:ascii="宋体" w:hAnsi="宋体" w:cs="宋体"/>
          <w:sz w:val="21"/>
          <w:szCs w:val="21"/>
        </w:rPr>
        <w:t>问卷填报</w:t>
      </w:r>
      <w:bookmarkEnd w:id="2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填报时，选中对应的问卷，点击该问卷对应的【填报】按钮，即可进入填报页面（注：填报页面会在新窗口中打开），填报页面图1.5示，到这一步，用户就可以进行问卷填报了，当鼠标移动到每一项数据项时，会弹出填写说明，按照填写说明填写即可。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注：背景为红色的数据项表示该数据项校验不通过，当鼠标停放到该数据项时，会弹出相应的提示信息，按照提示信息进行修改即可，当校验通过后，该数据项背景恢复为白色。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373370" cy="2486025"/>
            <wp:effectExtent l="0" t="0" r="17780" b="952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356" cy="2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图1.5问卷填报页面</w:t>
      </w:r>
    </w:p>
    <w:p>
      <w:pPr>
        <w:pStyle w:val="3"/>
      </w:pPr>
      <w:bookmarkStart w:id="3" w:name="_Toc10501"/>
      <w:r>
        <w:rPr>
          <w:rFonts w:hint="eastAsia"/>
        </w:rPr>
        <w:t>填报</w:t>
      </w:r>
      <w:bookmarkEnd w:id="3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填报时需要注意，一张问卷可能对应多张填报页，请务必保证在填报时填写完整的问卷信息，当需要录入企业员工薪资报酬情况时，点击第二页，即可跳转到企业从业人员工资报酬填报页面，效果如图1.6所示。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38775" cy="2519045"/>
            <wp:effectExtent l="0" t="0" r="9525" b="14605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图1.6 企业从业人员工资报酬填报页面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由于企业从业人员工资报酬填报页面中的表格是横表，所以在填写时可拖动底部的横向滚动条，查看完整表格信息，从而进行填写；如果有需要录入多条信息的情况，在录入完一条信息后，点击【增加】按钮，即可新增一行；如果有多余的未填写的记录行需要删除，选中需要删除的哪行记录，点击【删除】按钮即可删除该记录行；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补充：</w:t>
      </w:r>
      <w:r>
        <w:rPr>
          <w:rFonts w:hint="eastAsia" w:ascii="宋体" w:hAnsi="宋体" w:cs="宋体"/>
          <w:sz w:val="21"/>
          <w:szCs w:val="21"/>
        </w:rPr>
        <w:t>如果需要录入的员工信息量比较大，可以选择excel导入功能，批量导入员工信息，导入时，点击【excel导入】按钮，提示“如采用Excel上传方式，下方已录入数据将会被清除或覆盖，继续上传请点击‘确认’按钮！”，点击【确认】按钮，在新窗口中打开excel上传页面，页面效果如图1.7所示；具体操作步骤如下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715135"/>
            <wp:effectExtent l="0" t="0" r="0" b="18415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图1.7 员工工资信息批量上传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首先，点击【模板下载】按钮，下载excel模板，在excel模板中按照要求填写员工薪资信息，填写完成后界面如图1.8所示；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305560"/>
            <wp:effectExtent l="0" t="0" r="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图1.8 excel模板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填写完成后点击【选择文件】按钮，在弹出的文件选择窗口中找到要上传的excel文件，选中该文件，点击【打开】按钮，然后点击【上传】按钮，提示“上传成功”，上传成功后，即可关闭该页面，返回原页面，继续填写其他问卷信息；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如果上传失败，提示“上传文件中存在数据异常，请下载上传文件确认并更改异常数据再次上传！”，此时用户可点击【上报文件下载】按钮，即可下载带有错误信息提示的excel文件，效果如图1.9所示，按照错误提示，在上传文件中修改信息，重新上传即可。</w:t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357630"/>
            <wp:effectExtent l="0" t="0" r="0" b="139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图1.9 错误提示文件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注意：</w:t>
      </w:r>
      <w:r>
        <w:rPr>
          <w:rFonts w:hint="eastAsia" w:ascii="宋体" w:hAnsi="宋体" w:cs="宋体"/>
          <w:sz w:val="21"/>
          <w:szCs w:val="21"/>
        </w:rPr>
        <w:t>选择excel上传时，如果有在线录入员工工资信息，选择excel上传时，会覆盖已录入的员工工资信息。</w:t>
      </w:r>
    </w:p>
    <w:p>
      <w:pPr>
        <w:pStyle w:val="3"/>
        <w:rPr>
          <w:rFonts w:ascii="宋体" w:hAnsi="宋体" w:cs="宋体"/>
          <w:sz w:val="21"/>
          <w:szCs w:val="21"/>
        </w:rPr>
      </w:pPr>
      <w:bookmarkStart w:id="4" w:name="_Toc2586"/>
      <w:r>
        <w:rPr>
          <w:rFonts w:hint="eastAsia" w:ascii="宋体" w:hAnsi="宋体" w:cs="宋体"/>
          <w:sz w:val="21"/>
          <w:szCs w:val="21"/>
        </w:rPr>
        <w:t>保存</w:t>
      </w:r>
      <w:bookmarkEnd w:id="4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填报完成后点击【保存】按钮，将填报信息存到数据库中，并提示“保存成功，请点击‘检查’按钮，检查数据是否符合填报要求”，效果如图1.10所示，点击【确定】按钮，关闭提示信息，此时检查按钮变为可用状态。</w:t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46350"/>
            <wp:effectExtent l="0" t="0" r="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图1.10 保存效果展示</w:t>
      </w:r>
    </w:p>
    <w:p>
      <w:pPr>
        <w:pStyle w:val="3"/>
        <w:rPr>
          <w:rFonts w:ascii="宋体" w:hAnsi="宋体" w:cs="宋体"/>
          <w:sz w:val="21"/>
          <w:szCs w:val="21"/>
        </w:rPr>
      </w:pPr>
      <w:bookmarkStart w:id="5" w:name="_Toc19739"/>
      <w:r>
        <w:rPr>
          <w:rFonts w:hint="eastAsia" w:ascii="宋体" w:hAnsi="宋体" w:cs="宋体"/>
          <w:sz w:val="21"/>
          <w:szCs w:val="21"/>
        </w:rPr>
        <w:t>检查</w:t>
      </w:r>
      <w:bookmarkEnd w:id="5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保存成功后点击【检查】按钮，查看信息是否满足填报要求，如果信息满足要求，提示“您已通过数据校验，请点击‘提交’按钮提交问卷”，点击【确定】按钮，关闭提示信息，此时提交按钮变为可用状态；如果信息不满足要求，则提示“问卷填写存在问题，已标志为红色，请调整后再次进行检查！”，效果如图1.11所示，此时只需要找到标记为红色的记录，按照提示信息的要求进行修改即可，修改完成后，再重复第二步、第三步的操作即可。</w:t>
      </w:r>
    </w:p>
    <w:p>
      <w:pPr>
        <w:pStyle w:val="3"/>
        <w:rPr>
          <w:rFonts w:ascii="宋体" w:hAnsi="宋体" w:cs="宋体"/>
          <w:sz w:val="21"/>
          <w:szCs w:val="21"/>
        </w:rPr>
      </w:pPr>
      <w:bookmarkStart w:id="6" w:name="_Toc19468"/>
      <w:r>
        <w:rPr>
          <w:rFonts w:hint="eastAsia" w:ascii="宋体" w:hAnsi="宋体" w:cs="宋体"/>
          <w:sz w:val="21"/>
          <w:szCs w:val="21"/>
        </w:rPr>
        <w:t>提交</w:t>
      </w:r>
      <w:bookmarkEnd w:id="6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检查通过后，点击【提交】按钮，提示“问卷提交成功，如审核未通过，请及时重新填报”，此时，问卷提交成功，效果如图1.12所示；点击右上角的【主页】图标，返回主页，该问卷的状态变为“审批中”，页面效果如图1.13所示，如果需要查看已提交的问卷，点击该问卷对应的【查看】按钮，即可查看该问卷的填报信息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46350"/>
            <wp:effectExtent l="0" t="0" r="0" b="635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图1.11 检查效果展示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46350"/>
            <wp:effectExtent l="0" t="0" r="0" b="635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图1.12 提交效果展示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5765" cy="1136650"/>
            <wp:effectExtent l="0" t="0" r="63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图1.13 问卷审批状态效果展示</w:t>
      </w:r>
    </w:p>
    <w:p>
      <w:pPr>
        <w:pStyle w:val="3"/>
        <w:rPr>
          <w:rFonts w:ascii="宋体" w:hAnsi="宋体" w:cs="宋体"/>
          <w:sz w:val="21"/>
          <w:szCs w:val="21"/>
        </w:rPr>
      </w:pPr>
      <w:bookmarkStart w:id="7" w:name="_Toc18254"/>
      <w:r>
        <w:rPr>
          <w:rFonts w:hint="eastAsia" w:ascii="宋体" w:hAnsi="宋体" w:cs="宋体"/>
          <w:sz w:val="21"/>
          <w:szCs w:val="21"/>
        </w:rPr>
        <w:t>数据导出</w:t>
      </w:r>
      <w:bookmarkEnd w:id="7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当需要导出填报信息时，点击【数据导出】按钮（初始时，数据导出按钮为不可用状态，当进行过一次保存和检查操作后，数据导出按钮变为可用状态），弹出打开方式选择窗口，选择保存文件，然后点击【确定】按钮，效果如图1.14所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34285"/>
            <wp:effectExtent l="0" t="0" r="0" b="18415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图1.14 选择文件打开方式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选择完打开方式后，弹出文件保存路径选择窗口，选择文件将要保存的位置（自行选择存放位置即可），修改文件名称，效果如图1.15所示，然后点击【保存】按钮，即可实现数据导出。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76240" cy="2238375"/>
            <wp:effectExtent l="0" t="0" r="10160" b="9525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116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2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图1.15 选择文件保存位置</w:t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ab/>
      </w:r>
      <w:r>
        <w:rPr>
          <w:rFonts w:hint="eastAsia" w:ascii="宋体" w:hAnsi="宋体" w:cs="宋体"/>
          <w:sz w:val="21"/>
          <w:szCs w:val="21"/>
        </w:rPr>
        <w:t>将文件保存到本地后，点击浏览器右上角的下载图标，在弹出框中找到对应的文件，点击其对应的文件夹图标，即可打开该文件的存放位置，效果如图1.16所示，鼠标双击刚才保存的文件，即可查看该问卷导出后的详细信息，效果如图1.17所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682750"/>
            <wp:effectExtent l="0" t="0" r="0" b="1270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图1.16 打开文件保存位置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847975"/>
            <wp:effectExtent l="0" t="0" r="0" b="952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图1.17 数据导出后的效果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注：此保存方式仅针对火狐浏览器，不同浏览器产品在保存时略有差异，按照浏览器提示信息操作即可。</w:t>
      </w:r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8" w:name="_Toc15734"/>
      <w:bookmarkStart w:id="9" w:name="_Toc14506"/>
      <w:r>
        <w:rPr>
          <w:rFonts w:hint="eastAsia" w:ascii="宋体" w:hAnsi="宋体" w:cs="宋体"/>
          <w:sz w:val="21"/>
          <w:szCs w:val="21"/>
        </w:rPr>
        <w:t>审核结果</w:t>
      </w:r>
      <w:bookmarkEnd w:id="8"/>
    </w:p>
    <w:bookmarkEnd w:id="9"/>
    <w:p>
      <w:pPr>
        <w:pStyle w:val="3"/>
        <w:numPr>
          <w:ilvl w:val="1"/>
          <w:numId w:val="0"/>
        </w:numPr>
        <w:rPr>
          <w:rFonts w:ascii="宋体" w:hAnsi="宋体" w:cs="宋体"/>
          <w:sz w:val="21"/>
          <w:szCs w:val="21"/>
        </w:rPr>
      </w:pPr>
      <w:bookmarkStart w:id="10" w:name="_Toc29349"/>
      <w:r>
        <w:rPr>
          <w:rFonts w:hint="eastAsia" w:ascii="宋体" w:hAnsi="宋体" w:cs="宋体"/>
          <w:sz w:val="21"/>
          <w:szCs w:val="21"/>
        </w:rPr>
        <w:t>4.1审核不通过</w:t>
      </w:r>
      <w:bookmarkEnd w:id="10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由于已上报的数据可能不满足要求，有可能被回退，当已提交的问卷被回退时，首页效果如图1.18所示，问卷状态由“审核中”变为“审核不通过”，此时就需要根据不通过原因，修改问卷中的数据，修改时点击【修改】按钮，即可进入修改页面。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修改页面在新标签页中弹出，效果如图1.19所示，页面底部为回退的原因，根据回退的原因，找到对应的数据项，修改对应数据项的内容，然后在依次执行保存、检查操作，直到系统提示检查通过为止，当检查通过后，点击【提交】按钮，提示“问卷提交成功，如审核未通过，请及时重新填报”，点击【确定】按钮，即可重新上报该问卷，同时在首页中，该问卷的状态由“审核不通过”变为“审核通过”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385570"/>
            <wp:effectExtent l="0" t="0" r="0" b="508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图1.18 审核不通过效果展示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980055"/>
            <wp:effectExtent l="0" t="0" r="0" b="1079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图1.19 问卷修改页面</w:t>
      </w:r>
    </w:p>
    <w:p>
      <w:pPr>
        <w:pStyle w:val="3"/>
        <w:numPr>
          <w:ilvl w:val="1"/>
          <w:numId w:val="0"/>
        </w:numPr>
        <w:rPr>
          <w:rFonts w:ascii="宋体" w:hAnsi="宋体" w:cs="宋体"/>
          <w:sz w:val="21"/>
          <w:szCs w:val="21"/>
        </w:rPr>
      </w:pPr>
      <w:bookmarkStart w:id="11" w:name="_Toc24015"/>
      <w:r>
        <w:rPr>
          <w:rFonts w:hint="eastAsia" w:ascii="宋体" w:hAnsi="宋体" w:cs="宋体"/>
          <w:sz w:val="21"/>
          <w:szCs w:val="21"/>
        </w:rPr>
        <w:t>4.2审核通过</w:t>
      </w:r>
      <w:bookmarkEnd w:id="11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当审核通过，系统首页中该问卷的状态由“审核中”变为“审核通过”，表明该问卷的填报工作已成功完成，效果如图1.20所示，点击【查看】按钮，即可查看该问卷的详细信息。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457960"/>
            <wp:effectExtent l="0" t="0" r="0" b="889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 w:ascii="宋体" w:hAnsi="宋体" w:cs="宋体"/>
          <w:sz w:val="21"/>
          <w:szCs w:val="21"/>
        </w:rPr>
        <w:t>1.20 审核通过效果展示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71C0BA"/>
    <w:multiLevelType w:val="multilevel"/>
    <w:tmpl w:val="F171C0BA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0CA12956"/>
    <w:multiLevelType w:val="multilevel"/>
    <w:tmpl w:val="0CA1295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pStyle w:val="3"/>
      <w:lvlText w:val="3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57C92A66"/>
    <w:multiLevelType w:val="multilevel"/>
    <w:tmpl w:val="57C92A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lvlText w:val="%1.%2."/>
      <w:lvlJc w:val="left"/>
      <w:pPr>
        <w:tabs>
          <w:tab w:val="left" w:pos="420"/>
        </w:tabs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Restart w:val="1"/>
      <w:pStyle w:val="4"/>
      <w:suff w:val="space"/>
      <w:lvlText w:val="3.3.%3"/>
      <w:lvlJc w:val="left"/>
      <w:pPr>
        <w:tabs>
          <w:tab w:val="left" w:pos="420"/>
        </w:tabs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suff w:val="space"/>
      <w:lvlText w:val="3.3.2.%4"/>
      <w:lvlJc w:val="left"/>
      <w:pPr>
        <w:tabs>
          <w:tab w:val="left" w:pos="0"/>
        </w:tabs>
        <w:ind w:left="851" w:hanging="851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11"/>
    <w:rsid w:val="001E46B7"/>
    <w:rsid w:val="00347C9E"/>
    <w:rsid w:val="00BB5747"/>
    <w:rsid w:val="00BD2733"/>
    <w:rsid w:val="00C5704F"/>
    <w:rsid w:val="00C80A11"/>
    <w:rsid w:val="00EA4D48"/>
    <w:rsid w:val="00F12D80"/>
    <w:rsid w:val="00F22D78"/>
    <w:rsid w:val="00FB7EEB"/>
    <w:rsid w:val="0BB65E69"/>
    <w:rsid w:val="142053E8"/>
    <w:rsid w:val="20DF335F"/>
    <w:rsid w:val="36183D56"/>
    <w:rsid w:val="43AF24BD"/>
    <w:rsid w:val="751563E3"/>
    <w:rsid w:val="770A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50" w:beforeLines="50"/>
      <w:jc w:val="left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2"/>
      </w:numPr>
      <w:outlineLvl w:val="1"/>
    </w:pPr>
    <w:rPr>
      <w:rFonts w:ascii="Arial" w:hAnsi="Arial"/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3"/>
      </w:numPr>
      <w:tabs>
        <w:tab w:val="left" w:pos="0"/>
        <w:tab w:val="clear" w:pos="420"/>
      </w:tabs>
      <w:jc w:val="left"/>
      <w:outlineLvl w:val="2"/>
    </w:pPr>
    <w:rPr>
      <w:rFonts w:ascii="Times New Roman" w:hAnsi="Times New Roman" w:eastAsiaTheme="majorEastAsia"/>
      <w:b/>
      <w:bCs/>
      <w:sz w:val="28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3"/>
      </w:numPr>
      <w:outlineLvl w:val="3"/>
    </w:pPr>
    <w:rPr>
      <w:rFonts w:ascii="Arial" w:hAnsi="Arial" w:eastAsiaTheme="majorEastAsia"/>
      <w:b/>
      <w:bCs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图注 Char"/>
    <w:basedOn w:val="9"/>
    <w:link w:val="12"/>
    <w:qFormat/>
    <w:uiPriority w:val="0"/>
    <w:rPr>
      <w:sz w:val="18"/>
      <w:szCs w:val="18"/>
    </w:rPr>
  </w:style>
  <w:style w:type="paragraph" w:customStyle="1" w:styleId="12">
    <w:name w:val="图注"/>
    <w:basedOn w:val="1"/>
    <w:link w:val="11"/>
    <w:qFormat/>
    <w:uiPriority w:val="0"/>
    <w:pPr>
      <w:jc w:val="center"/>
    </w:pPr>
    <w:rPr>
      <w:sz w:val="18"/>
      <w:szCs w:val="18"/>
    </w:rPr>
  </w:style>
  <w:style w:type="paragraph" w:customStyle="1" w:styleId="13">
    <w:name w:val="规范正文"/>
    <w:basedOn w:val="1"/>
    <w:qFormat/>
    <w:uiPriority w:val="0"/>
    <w:pPr>
      <w:adjustRightInd w:val="0"/>
      <w:ind w:left="480"/>
      <w:textAlignment w:val="baseline"/>
    </w:pPr>
    <w:rPr>
      <w:szCs w:val="20"/>
    </w:rPr>
  </w:style>
  <w:style w:type="character" w:customStyle="1" w:styleId="14">
    <w:name w:val="页脚 字符"/>
    <w:basedOn w:val="9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458</Words>
  <Characters>2612</Characters>
  <Lines>21</Lines>
  <Paragraphs>6</Paragraphs>
  <TotalTime>24</TotalTime>
  <ScaleCrop>false</ScaleCrop>
  <LinksUpToDate>false</LinksUpToDate>
  <CharactersWithSpaces>3064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李畅</cp:lastModifiedBy>
  <dcterms:modified xsi:type="dcterms:W3CDTF">2022-01-24T11:30:45Z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5387D573066A4C2F8F6519ABCC27C6F4</vt:lpwstr>
  </property>
</Properties>
</file>