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adjustRightInd w:val="0"/>
        <w:snapToGrid w:val="0"/>
        <w:spacing w:after="0" w:line="312" w:lineRule="auto"/>
        <w:rPr>
          <w:rFonts w:ascii="Times New Roman" w:hAnsi="Times New Roman"/>
          <w:sz w:val="48"/>
        </w:rPr>
      </w:pPr>
      <w:bookmarkStart w:id="0" w:name="_Toc296587785"/>
    </w:p>
    <w:bookmarkEnd w:id="0"/>
    <w:p>
      <w:pPr>
        <w:pStyle w:val="22"/>
        <w:ind w:firstLine="879"/>
        <w:jc w:val="right"/>
        <w:rPr>
          <w:rFonts w:ascii="Times New Roman" w:eastAsia="黑体"/>
          <w:szCs w:val="32"/>
        </w:rPr>
      </w:pPr>
      <w:bookmarkStart w:id="167" w:name="_GoBack"/>
      <w:bookmarkEnd w:id="167"/>
      <w:r>
        <w:rPr>
          <w:rFonts w:hint="eastAsia" w:ascii="Times New Roman" w:eastAsia="黑体"/>
          <w:szCs w:val="32"/>
        </w:rPr>
        <w:t>培训资料</w:t>
      </w:r>
    </w:p>
    <w:p>
      <w:pPr>
        <w:pStyle w:val="22"/>
        <w:ind w:firstLine="879"/>
        <w:jc w:val="right"/>
        <w:rPr>
          <w:rFonts w:ascii="Times New Roman" w:eastAsia="黑体"/>
          <w:szCs w:val="32"/>
        </w:rPr>
      </w:pPr>
      <w:r>
        <w:rPr>
          <w:rFonts w:hint="eastAsia" w:ascii="Times New Roman" w:eastAsia="黑体"/>
          <w:szCs w:val="32"/>
        </w:rPr>
        <w:t>注意保管</w:t>
      </w:r>
    </w:p>
    <w:p>
      <w:pPr>
        <w:pStyle w:val="22"/>
        <w:spacing w:line="360" w:lineRule="auto"/>
        <w:ind w:firstLine="880"/>
        <w:rPr>
          <w:rFonts w:ascii="Times New Roman" w:eastAsia="黑体"/>
          <w:sz w:val="44"/>
          <w:szCs w:val="44"/>
        </w:rPr>
      </w:pPr>
    </w:p>
    <w:p>
      <w:pPr>
        <w:pStyle w:val="23"/>
        <w:spacing w:line="240" w:lineRule="auto"/>
        <w:rPr>
          <w:rFonts w:ascii="Times New Roman" w:hAnsi="Times New Roman"/>
          <w:b/>
          <w:color w:val="auto"/>
          <w:sz w:val="84"/>
          <w:szCs w:val="84"/>
        </w:rPr>
      </w:pPr>
      <w:r>
        <w:rPr>
          <w:rFonts w:ascii="Times New Roman" w:hAnsi="Times New Roman"/>
          <w:b/>
          <w:color w:val="auto"/>
          <w:sz w:val="84"/>
          <w:szCs w:val="84"/>
        </w:rPr>
        <w:t>20</w:t>
      </w:r>
      <w:r>
        <w:rPr>
          <w:rFonts w:hint="eastAsia" w:ascii="Times New Roman" w:hAnsi="Times New Roman"/>
          <w:b/>
          <w:color w:val="auto"/>
          <w:sz w:val="84"/>
          <w:szCs w:val="84"/>
        </w:rPr>
        <w:t>2</w:t>
      </w:r>
      <w:r>
        <w:rPr>
          <w:rFonts w:ascii="Times New Roman" w:hAnsi="Times New Roman"/>
          <w:b/>
          <w:color w:val="auto"/>
          <w:sz w:val="84"/>
          <w:szCs w:val="84"/>
        </w:rPr>
        <w:t>2年企业薪酬调查</w:t>
      </w:r>
    </w:p>
    <w:p>
      <w:pPr>
        <w:pStyle w:val="23"/>
        <w:spacing w:line="240" w:lineRule="auto"/>
        <w:jc w:val="both"/>
        <w:rPr>
          <w:rFonts w:ascii="Times New Roman" w:hAnsi="Times New Roman"/>
          <w:color w:val="auto"/>
        </w:rPr>
      </w:pPr>
    </w:p>
    <w:p>
      <w:pPr>
        <w:pStyle w:val="23"/>
        <w:spacing w:line="240" w:lineRule="auto"/>
        <w:rPr>
          <w:rFonts w:ascii="Times New Roman" w:hAnsi="Times New Roman"/>
          <w:b/>
          <w:color w:val="auto"/>
          <w:sz w:val="84"/>
          <w:szCs w:val="84"/>
        </w:rPr>
      </w:pPr>
      <w:r>
        <w:rPr>
          <w:rFonts w:ascii="Times New Roman" w:hAnsi="Times New Roman"/>
          <w:b/>
          <w:color w:val="auto"/>
          <w:sz w:val="84"/>
          <w:szCs w:val="84"/>
        </w:rPr>
        <w:t>培训手册</w:t>
      </w:r>
    </w:p>
    <w:p>
      <w:pPr>
        <w:pStyle w:val="23"/>
        <w:spacing w:line="360" w:lineRule="auto"/>
        <w:jc w:val="both"/>
        <w:rPr>
          <w:rFonts w:ascii="Times New Roman" w:hAnsi="Times New Roman"/>
          <w:color w:val="auto"/>
        </w:rPr>
      </w:pPr>
    </w:p>
    <w:p>
      <w:pPr>
        <w:pStyle w:val="23"/>
        <w:spacing w:line="360" w:lineRule="auto"/>
        <w:jc w:val="both"/>
        <w:rPr>
          <w:rFonts w:ascii="Times New Roman" w:hAnsi="Times New Roman"/>
          <w:color w:val="auto"/>
        </w:rPr>
      </w:pPr>
    </w:p>
    <w:p>
      <w:pPr>
        <w:pStyle w:val="23"/>
        <w:spacing w:line="360" w:lineRule="auto"/>
        <w:jc w:val="both"/>
        <w:rPr>
          <w:rFonts w:ascii="Times New Roman" w:hAnsi="Times New Roman"/>
          <w:color w:val="auto"/>
        </w:rPr>
      </w:pPr>
    </w:p>
    <w:p>
      <w:pPr>
        <w:pStyle w:val="23"/>
        <w:spacing w:line="360" w:lineRule="auto"/>
        <w:jc w:val="both"/>
        <w:rPr>
          <w:rFonts w:ascii="Times New Roman" w:hAnsi="Times New Roman"/>
          <w:color w:val="auto"/>
        </w:rPr>
      </w:pPr>
    </w:p>
    <w:p>
      <w:pPr>
        <w:pStyle w:val="23"/>
        <w:spacing w:line="360" w:lineRule="auto"/>
        <w:jc w:val="both"/>
        <w:rPr>
          <w:rFonts w:ascii="Times New Roman" w:hAnsi="Times New Roman" w:eastAsia="华文新魏"/>
          <w:color w:val="auto"/>
        </w:rPr>
      </w:pPr>
    </w:p>
    <w:p>
      <w:pPr>
        <w:pStyle w:val="23"/>
        <w:spacing w:line="360" w:lineRule="auto"/>
        <w:jc w:val="both"/>
        <w:rPr>
          <w:rFonts w:ascii="Times New Roman" w:hAnsi="Times New Roman" w:eastAsia="华文新魏"/>
          <w:color w:val="auto"/>
        </w:rPr>
      </w:pPr>
    </w:p>
    <w:p>
      <w:pPr>
        <w:pStyle w:val="23"/>
        <w:spacing w:line="360" w:lineRule="auto"/>
        <w:rPr>
          <w:rFonts w:ascii="Times New Roman" w:hAnsi="Times New Roman" w:eastAsia="宋体"/>
          <w:b/>
          <w:bCs/>
          <w:color w:val="auto"/>
          <w:sz w:val="36"/>
          <w:szCs w:val="36"/>
        </w:rPr>
      </w:pPr>
      <w:r>
        <w:rPr>
          <w:rFonts w:hint="eastAsia" w:ascii="Times New Roman" w:hAnsi="Times New Roman" w:eastAsia="宋体"/>
          <w:b/>
          <w:bCs/>
          <w:color w:val="auto"/>
          <w:sz w:val="36"/>
          <w:szCs w:val="36"/>
        </w:rPr>
        <w:t>人力资源和社会保障部</w:t>
      </w:r>
    </w:p>
    <w:p>
      <w:pPr>
        <w:pStyle w:val="23"/>
        <w:spacing w:line="360" w:lineRule="auto"/>
        <w:rPr>
          <w:rFonts w:ascii="Times New Roman" w:hAnsi="Times New Roman" w:eastAsia="宋体"/>
          <w:color w:val="auto"/>
          <w:sz w:val="36"/>
          <w:szCs w:val="36"/>
        </w:rPr>
        <w:sectPr>
          <w:footerReference r:id="rId4" w:type="first"/>
          <w:footerReference r:id="rId3" w:type="default"/>
          <w:pgSz w:w="11906" w:h="16838"/>
          <w:pgMar w:top="1871" w:right="1588" w:bottom="1440" w:left="1758" w:header="851" w:footer="34" w:gutter="0"/>
          <w:pgNumType w:fmt="numberInDash"/>
          <w:cols w:space="720" w:num="1"/>
          <w:docGrid w:linePitch="435" w:charSpace="0"/>
        </w:sectPr>
      </w:pPr>
      <w:r>
        <w:rPr>
          <w:rFonts w:ascii="Times New Roman" w:hAnsi="Times New Roman" w:eastAsia="宋体"/>
          <w:b/>
          <w:bCs/>
          <w:color w:val="auto"/>
          <w:sz w:val="36"/>
          <w:szCs w:val="36"/>
        </w:rPr>
        <w:t>二〇</w:t>
      </w:r>
      <w:r>
        <w:rPr>
          <w:rFonts w:hint="eastAsia" w:ascii="Times New Roman" w:hAnsi="Times New Roman" w:eastAsia="宋体"/>
          <w:b/>
          <w:bCs/>
          <w:color w:val="auto"/>
          <w:sz w:val="36"/>
          <w:szCs w:val="36"/>
        </w:rPr>
        <w:t>二二</w:t>
      </w:r>
      <w:r>
        <w:rPr>
          <w:rFonts w:ascii="Times New Roman" w:hAnsi="Times New Roman" w:eastAsia="宋体"/>
          <w:b/>
          <w:bCs/>
          <w:color w:val="auto"/>
          <w:sz w:val="36"/>
          <w:szCs w:val="36"/>
        </w:rPr>
        <w:t>年</w:t>
      </w:r>
      <w:r>
        <w:rPr>
          <w:rFonts w:hint="eastAsia" w:ascii="Times New Roman" w:hAnsi="Times New Roman" w:eastAsia="宋体"/>
          <w:b/>
          <w:bCs/>
          <w:color w:val="auto"/>
          <w:sz w:val="36"/>
          <w:szCs w:val="36"/>
        </w:rPr>
        <w:t>一</w:t>
      </w:r>
      <w:r>
        <w:rPr>
          <w:rFonts w:ascii="Times New Roman" w:hAnsi="Times New Roman" w:eastAsia="宋体"/>
          <w:b/>
          <w:bCs/>
          <w:color w:val="auto"/>
          <w:sz w:val="36"/>
          <w:szCs w:val="36"/>
        </w:rPr>
        <w:t>月</w:t>
      </w:r>
    </w:p>
    <w:p/>
    <w:sdt>
      <w:sdtPr>
        <w:rPr>
          <w:rFonts w:cs="Times New Roman" w:asciiTheme="minorHAnsi" w:hAnsiTheme="minorHAnsi" w:eastAsiaTheme="minorEastAsia"/>
          <w:b w:val="0"/>
          <w:bCs w:val="0"/>
          <w:kern w:val="0"/>
          <w:sz w:val="24"/>
          <w:szCs w:val="24"/>
          <w:lang w:val="zh-CN"/>
        </w:rPr>
        <w:id w:val="42649876"/>
        <w:docPartObj>
          <w:docPartGallery w:val="Table of Contents"/>
          <w:docPartUnique/>
        </w:docPartObj>
      </w:sdtPr>
      <w:sdtEndPr>
        <w:rPr>
          <w:rFonts w:cs="Times New Roman" w:asciiTheme="minorEastAsia" w:hAnsiTheme="minorEastAsia" w:eastAsiaTheme="minorEastAsia"/>
          <w:b w:val="0"/>
          <w:bCs w:val="0"/>
          <w:kern w:val="0"/>
          <w:sz w:val="30"/>
          <w:szCs w:val="30"/>
          <w:lang w:val="zh-CN"/>
        </w:rPr>
      </w:sdtEndPr>
      <w:sdtContent>
        <w:p>
          <w:pPr>
            <w:pStyle w:val="24"/>
            <w:jc w:val="center"/>
            <w:rPr>
              <w:sz w:val="40"/>
              <w:szCs w:val="40"/>
              <w:lang w:val="zh-CN"/>
            </w:rPr>
          </w:pPr>
          <w:r>
            <w:rPr>
              <w:sz w:val="40"/>
              <w:szCs w:val="40"/>
              <w:lang w:val="zh-CN"/>
            </w:rPr>
            <w:t>目录</w:t>
          </w:r>
        </w:p>
        <w:p>
          <w:pPr>
            <w:rPr>
              <w:lang w:val="zh-CN"/>
            </w:rPr>
          </w:pPr>
        </w:p>
        <w:p>
          <w:pPr>
            <w:rPr>
              <w:rFonts w:asciiTheme="minorEastAsia" w:hAnsiTheme="minorEastAsia"/>
              <w:sz w:val="32"/>
              <w:szCs w:val="32"/>
              <w:lang w:val="zh-CN"/>
            </w:rPr>
          </w:pP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TOC \o "1-3" \h \z \u </w:instrText>
          </w:r>
          <w:r>
            <w:rPr>
              <w:rFonts w:asciiTheme="minorEastAsia" w:hAnsiTheme="minorEastAsia" w:eastAsiaTheme="minorEastAsia"/>
              <w:i w:val="0"/>
              <w:iCs w:val="0"/>
              <w:sz w:val="30"/>
              <w:szCs w:val="30"/>
            </w:rPr>
            <w:fldChar w:fldCharType="separate"/>
          </w:r>
          <w:r>
            <w:fldChar w:fldCharType="begin"/>
          </w:r>
          <w:r>
            <w:instrText xml:space="preserve"> HYPERLINK \l "_Toc93509808" </w:instrText>
          </w:r>
          <w:r>
            <w:fldChar w:fldCharType="separate"/>
          </w:r>
          <w:r>
            <w:rPr>
              <w:rStyle w:val="19"/>
              <w:rFonts w:cs="黑体" w:asciiTheme="minorEastAsia" w:hAnsiTheme="minorEastAsia" w:eastAsiaTheme="minorEastAsia"/>
              <w:b/>
              <w:bCs/>
              <w:i w:val="0"/>
              <w:iCs w:val="0"/>
              <w:sz w:val="30"/>
              <w:szCs w:val="30"/>
            </w:rPr>
            <w:t>第一部分  企业薪酬调查概述</w:t>
          </w:r>
          <w:r>
            <w:rPr>
              <w:rFonts w:asciiTheme="minorEastAsia" w:hAnsiTheme="minorEastAsia" w:eastAsiaTheme="minorEastAsia"/>
              <w:b/>
              <w:bCs/>
              <w:i w:val="0"/>
              <w:iCs w:val="0"/>
              <w:sz w:val="30"/>
              <w:szCs w:val="30"/>
            </w:rPr>
            <w:tab/>
          </w:r>
          <w:r>
            <w:rPr>
              <w:rFonts w:asciiTheme="minorEastAsia" w:hAnsiTheme="minorEastAsia" w:eastAsiaTheme="minorEastAsia"/>
              <w:b/>
              <w:bCs/>
              <w:i w:val="0"/>
              <w:iCs w:val="0"/>
              <w:sz w:val="30"/>
              <w:szCs w:val="30"/>
            </w:rPr>
            <w:fldChar w:fldCharType="begin"/>
          </w:r>
          <w:r>
            <w:rPr>
              <w:rFonts w:asciiTheme="minorEastAsia" w:hAnsiTheme="minorEastAsia" w:eastAsiaTheme="minorEastAsia"/>
              <w:b/>
              <w:bCs/>
              <w:i w:val="0"/>
              <w:iCs w:val="0"/>
              <w:sz w:val="30"/>
              <w:szCs w:val="30"/>
            </w:rPr>
            <w:instrText xml:space="preserve"> PAGEREF _Toc93509808 \h </w:instrText>
          </w:r>
          <w:r>
            <w:rPr>
              <w:rFonts w:asciiTheme="minorEastAsia" w:hAnsiTheme="minorEastAsia" w:eastAsiaTheme="minorEastAsia"/>
              <w:b/>
              <w:bCs/>
              <w:i w:val="0"/>
              <w:iCs w:val="0"/>
              <w:sz w:val="30"/>
              <w:szCs w:val="30"/>
            </w:rPr>
            <w:fldChar w:fldCharType="separate"/>
          </w:r>
          <w:r>
            <w:rPr>
              <w:rFonts w:asciiTheme="minorEastAsia" w:hAnsiTheme="minorEastAsia" w:eastAsiaTheme="minorEastAsia"/>
              <w:b/>
              <w:bCs/>
              <w:i w:val="0"/>
              <w:iCs w:val="0"/>
              <w:sz w:val="30"/>
              <w:szCs w:val="30"/>
            </w:rPr>
            <w:t>- 2 -</w:t>
          </w:r>
          <w:r>
            <w:rPr>
              <w:rFonts w:asciiTheme="minorEastAsia" w:hAnsiTheme="minorEastAsia" w:eastAsiaTheme="minorEastAsia"/>
              <w:b/>
              <w:bCs/>
              <w:i w:val="0"/>
              <w:iCs w:val="0"/>
              <w:sz w:val="30"/>
              <w:szCs w:val="30"/>
            </w:rPr>
            <w:fldChar w:fldCharType="end"/>
          </w:r>
          <w:r>
            <w:rPr>
              <w:rFonts w:asciiTheme="minorEastAsia" w:hAnsiTheme="minorEastAsia" w:eastAsiaTheme="minorEastAsia"/>
              <w:b/>
              <w:bCs/>
              <w:i w:val="0"/>
              <w:iCs w:val="0"/>
              <w:sz w:val="30"/>
              <w:szCs w:val="30"/>
            </w:rPr>
            <w:fldChar w:fldCharType="end"/>
          </w:r>
        </w:p>
        <w:p>
          <w:pPr>
            <w:pStyle w:val="12"/>
            <w:tabs>
              <w:tab w:val="right" w:leader="dot" w:pos="8296"/>
            </w:tabs>
            <w:adjustRightInd w:val="0"/>
            <w:snapToGrid w:val="0"/>
            <w:spacing w:before="0" w:after="0" w:line="360" w:lineRule="auto"/>
            <w:ind w:left="2"/>
            <w:rPr>
              <w:rFonts w:asciiTheme="minorEastAsia" w:hAnsiTheme="minorEastAsia" w:eastAsiaTheme="minorEastAsia"/>
              <w:b w:val="0"/>
              <w:bCs w:val="0"/>
              <w:caps w:val="0"/>
              <w:sz w:val="30"/>
              <w:szCs w:val="30"/>
            </w:rPr>
          </w:pPr>
          <w:r>
            <w:fldChar w:fldCharType="begin"/>
          </w:r>
          <w:r>
            <w:instrText xml:space="preserve"> HYPERLINK \l "_Toc93509809" </w:instrText>
          </w:r>
          <w:r>
            <w:fldChar w:fldCharType="separate"/>
          </w:r>
          <w:r>
            <w:rPr>
              <w:rStyle w:val="19"/>
              <w:rFonts w:asciiTheme="minorEastAsia" w:hAnsiTheme="minorEastAsia" w:eastAsiaTheme="minorEastAsia"/>
              <w:sz w:val="30"/>
              <w:szCs w:val="30"/>
            </w:rPr>
            <w:t>第二部分   企业薪酬调查主要指标解释</w:t>
          </w:r>
          <w:r>
            <w:rPr>
              <w:rFonts w:asciiTheme="minorEastAsia" w:hAnsiTheme="minorEastAsia" w:eastAsiaTheme="minorEastAsia"/>
              <w:sz w:val="30"/>
              <w:szCs w:val="30"/>
            </w:rPr>
            <w:tab/>
          </w: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 PAGEREF _Toc93509809 \h </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rPr>
            <w:t>- 7 -</w:t>
          </w:r>
          <w:r>
            <w:rPr>
              <w:rFonts w:asciiTheme="minorEastAsia" w:hAnsiTheme="minorEastAsia" w:eastAsiaTheme="minorEastAsia"/>
              <w:sz w:val="30"/>
              <w:szCs w:val="30"/>
            </w:rPr>
            <w:fldChar w:fldCharType="end"/>
          </w:r>
          <w:r>
            <w:rPr>
              <w:rFonts w:asciiTheme="minorEastAsia" w:hAnsiTheme="minorEastAsia" w:eastAsiaTheme="minorEastAsia"/>
              <w:sz w:val="30"/>
              <w:szCs w:val="30"/>
            </w:rPr>
            <w:fldChar w:fldCharType="end"/>
          </w: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fldChar w:fldCharType="begin"/>
          </w:r>
          <w:r>
            <w:instrText xml:space="preserve"> HYPERLINK \l "_Toc93509810" </w:instrText>
          </w:r>
          <w:r>
            <w:fldChar w:fldCharType="separate"/>
          </w:r>
          <w:r>
            <w:rPr>
              <w:rStyle w:val="19"/>
              <w:rFonts w:cs="仿宋" w:asciiTheme="minorEastAsia" w:hAnsiTheme="minorEastAsia" w:eastAsiaTheme="minorEastAsia"/>
              <w:i w:val="0"/>
              <w:iCs w:val="0"/>
              <w:sz w:val="30"/>
              <w:szCs w:val="30"/>
            </w:rPr>
            <w:t>一、</w:t>
          </w:r>
          <w:r>
            <w:rPr>
              <w:rStyle w:val="19"/>
              <w:rFonts w:asciiTheme="minorEastAsia" w:hAnsiTheme="minorEastAsia" w:eastAsiaTheme="minorEastAsia"/>
              <w:i w:val="0"/>
              <w:iCs w:val="0"/>
              <w:sz w:val="30"/>
              <w:szCs w:val="30"/>
            </w:rPr>
            <w:t>企业基本情况有关指标</w:t>
          </w:r>
          <w:r>
            <w:rPr>
              <w:rFonts w:asciiTheme="minorEastAsia" w:hAnsiTheme="minorEastAsia" w:eastAsiaTheme="minorEastAsia"/>
              <w:i w:val="0"/>
              <w:iCs w:val="0"/>
              <w:sz w:val="30"/>
              <w:szCs w:val="30"/>
            </w:rPr>
            <w:tab/>
          </w: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PAGEREF _Toc93509810 \h </w:instrText>
          </w:r>
          <w:r>
            <w:rPr>
              <w:rFonts w:asciiTheme="minorEastAsia" w:hAnsiTheme="minorEastAsia" w:eastAsiaTheme="minorEastAsia"/>
              <w:i w:val="0"/>
              <w:iCs w:val="0"/>
              <w:sz w:val="30"/>
              <w:szCs w:val="30"/>
            </w:rPr>
            <w:fldChar w:fldCharType="separate"/>
          </w:r>
          <w:r>
            <w:rPr>
              <w:rFonts w:asciiTheme="minorEastAsia" w:hAnsiTheme="minorEastAsia" w:eastAsiaTheme="minorEastAsia"/>
              <w:i w:val="0"/>
              <w:iCs w:val="0"/>
              <w:sz w:val="30"/>
              <w:szCs w:val="30"/>
            </w:rPr>
            <w:t>- 8 -</w:t>
          </w:r>
          <w:r>
            <w:rPr>
              <w:rFonts w:asciiTheme="minorEastAsia" w:hAnsiTheme="minorEastAsia" w:eastAsiaTheme="minorEastAsia"/>
              <w:i w:val="0"/>
              <w:iCs w:val="0"/>
              <w:sz w:val="30"/>
              <w:szCs w:val="30"/>
            </w:rPr>
            <w:fldChar w:fldCharType="end"/>
          </w:r>
          <w:r>
            <w:rPr>
              <w:rFonts w:asciiTheme="minorEastAsia" w:hAnsiTheme="minorEastAsia" w:eastAsiaTheme="minorEastAsia"/>
              <w:i w:val="0"/>
              <w:iCs w:val="0"/>
              <w:sz w:val="30"/>
              <w:szCs w:val="30"/>
            </w:rPr>
            <w:fldChar w:fldCharType="end"/>
          </w: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fldChar w:fldCharType="begin"/>
          </w:r>
          <w:r>
            <w:instrText xml:space="preserve"> HYPERLINK \l "_Toc93509811" </w:instrText>
          </w:r>
          <w:r>
            <w:fldChar w:fldCharType="separate"/>
          </w:r>
          <w:r>
            <w:rPr>
              <w:rStyle w:val="19"/>
              <w:rFonts w:asciiTheme="minorEastAsia" w:hAnsiTheme="minorEastAsia" w:eastAsiaTheme="minorEastAsia"/>
              <w:i w:val="0"/>
              <w:iCs w:val="0"/>
              <w:sz w:val="30"/>
              <w:szCs w:val="30"/>
            </w:rPr>
            <w:t>二、企业人工成本情况表相关指标</w:t>
          </w:r>
          <w:r>
            <w:rPr>
              <w:rFonts w:asciiTheme="minorEastAsia" w:hAnsiTheme="minorEastAsia" w:eastAsiaTheme="minorEastAsia"/>
              <w:i w:val="0"/>
              <w:iCs w:val="0"/>
              <w:sz w:val="30"/>
              <w:szCs w:val="30"/>
            </w:rPr>
            <w:tab/>
          </w: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PAGEREF _Toc93509811 \h </w:instrText>
          </w:r>
          <w:r>
            <w:rPr>
              <w:rFonts w:asciiTheme="minorEastAsia" w:hAnsiTheme="minorEastAsia" w:eastAsiaTheme="minorEastAsia"/>
              <w:i w:val="0"/>
              <w:iCs w:val="0"/>
              <w:sz w:val="30"/>
              <w:szCs w:val="30"/>
            </w:rPr>
            <w:fldChar w:fldCharType="separate"/>
          </w:r>
          <w:r>
            <w:rPr>
              <w:rFonts w:asciiTheme="minorEastAsia" w:hAnsiTheme="minorEastAsia" w:eastAsiaTheme="minorEastAsia"/>
              <w:i w:val="0"/>
              <w:iCs w:val="0"/>
              <w:sz w:val="30"/>
              <w:szCs w:val="30"/>
            </w:rPr>
            <w:t>- 22 -</w:t>
          </w:r>
          <w:r>
            <w:rPr>
              <w:rFonts w:asciiTheme="minorEastAsia" w:hAnsiTheme="minorEastAsia" w:eastAsiaTheme="minorEastAsia"/>
              <w:i w:val="0"/>
              <w:iCs w:val="0"/>
              <w:sz w:val="30"/>
              <w:szCs w:val="30"/>
            </w:rPr>
            <w:fldChar w:fldCharType="end"/>
          </w:r>
          <w:r>
            <w:rPr>
              <w:rFonts w:asciiTheme="minorEastAsia" w:hAnsiTheme="minorEastAsia" w:eastAsiaTheme="minorEastAsia"/>
              <w:i w:val="0"/>
              <w:iCs w:val="0"/>
              <w:sz w:val="30"/>
              <w:szCs w:val="30"/>
            </w:rPr>
            <w:fldChar w:fldCharType="end"/>
          </w: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fldChar w:fldCharType="begin"/>
          </w:r>
          <w:r>
            <w:instrText xml:space="preserve"> HYPERLINK \l "_Toc93509812" </w:instrText>
          </w:r>
          <w:r>
            <w:fldChar w:fldCharType="separate"/>
          </w:r>
          <w:r>
            <w:rPr>
              <w:rStyle w:val="19"/>
              <w:rFonts w:asciiTheme="minorEastAsia" w:hAnsiTheme="minorEastAsia" w:eastAsiaTheme="minorEastAsia"/>
              <w:i w:val="0"/>
              <w:iCs w:val="0"/>
              <w:sz w:val="30"/>
              <w:szCs w:val="30"/>
            </w:rPr>
            <w:t>三、企业从业人员工资报酬调查有关指标</w:t>
          </w:r>
          <w:r>
            <w:rPr>
              <w:rFonts w:asciiTheme="minorEastAsia" w:hAnsiTheme="minorEastAsia" w:eastAsiaTheme="minorEastAsia"/>
              <w:i w:val="0"/>
              <w:iCs w:val="0"/>
              <w:sz w:val="30"/>
              <w:szCs w:val="30"/>
            </w:rPr>
            <w:tab/>
          </w: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PAGEREF _Toc93509812 \h </w:instrText>
          </w:r>
          <w:r>
            <w:rPr>
              <w:rFonts w:asciiTheme="minorEastAsia" w:hAnsiTheme="minorEastAsia" w:eastAsiaTheme="minorEastAsia"/>
              <w:i w:val="0"/>
              <w:iCs w:val="0"/>
              <w:sz w:val="30"/>
              <w:szCs w:val="30"/>
            </w:rPr>
            <w:fldChar w:fldCharType="separate"/>
          </w:r>
          <w:r>
            <w:rPr>
              <w:rFonts w:asciiTheme="minorEastAsia" w:hAnsiTheme="minorEastAsia" w:eastAsiaTheme="minorEastAsia"/>
              <w:i w:val="0"/>
              <w:iCs w:val="0"/>
              <w:sz w:val="30"/>
              <w:szCs w:val="30"/>
            </w:rPr>
            <w:t>- 29 -</w:t>
          </w:r>
          <w:r>
            <w:rPr>
              <w:rFonts w:asciiTheme="minorEastAsia" w:hAnsiTheme="minorEastAsia" w:eastAsiaTheme="minorEastAsia"/>
              <w:i w:val="0"/>
              <w:iCs w:val="0"/>
              <w:sz w:val="30"/>
              <w:szCs w:val="30"/>
            </w:rPr>
            <w:fldChar w:fldCharType="end"/>
          </w:r>
          <w:r>
            <w:rPr>
              <w:rFonts w:asciiTheme="minorEastAsia" w:hAnsiTheme="minorEastAsia" w:eastAsiaTheme="minorEastAsia"/>
              <w:i w:val="0"/>
              <w:iCs w:val="0"/>
              <w:sz w:val="30"/>
              <w:szCs w:val="30"/>
            </w:rPr>
            <w:fldChar w:fldCharType="end"/>
          </w: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fldChar w:fldCharType="begin"/>
          </w:r>
          <w:r>
            <w:instrText xml:space="preserve"> HYPERLINK \l "_Toc93509813" </w:instrText>
          </w:r>
          <w:r>
            <w:fldChar w:fldCharType="separate"/>
          </w:r>
          <w:r>
            <w:rPr>
              <w:rStyle w:val="19"/>
              <w:rFonts w:asciiTheme="minorEastAsia" w:hAnsiTheme="minorEastAsia" w:eastAsiaTheme="minorEastAsia"/>
              <w:i w:val="0"/>
              <w:iCs w:val="0"/>
              <w:sz w:val="30"/>
              <w:szCs w:val="30"/>
            </w:rPr>
            <w:t>四、新就业形态劳动者劳动报酬情况有关指标</w:t>
          </w:r>
          <w:r>
            <w:rPr>
              <w:rFonts w:asciiTheme="minorEastAsia" w:hAnsiTheme="minorEastAsia" w:eastAsiaTheme="minorEastAsia"/>
              <w:i w:val="0"/>
              <w:iCs w:val="0"/>
              <w:sz w:val="30"/>
              <w:szCs w:val="30"/>
            </w:rPr>
            <w:tab/>
          </w: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PAGEREF _Toc93509813 \h </w:instrText>
          </w:r>
          <w:r>
            <w:rPr>
              <w:rFonts w:asciiTheme="minorEastAsia" w:hAnsiTheme="minorEastAsia" w:eastAsiaTheme="minorEastAsia"/>
              <w:i w:val="0"/>
              <w:iCs w:val="0"/>
              <w:sz w:val="30"/>
              <w:szCs w:val="30"/>
            </w:rPr>
            <w:fldChar w:fldCharType="separate"/>
          </w:r>
          <w:r>
            <w:rPr>
              <w:rFonts w:asciiTheme="minorEastAsia" w:hAnsiTheme="minorEastAsia" w:eastAsiaTheme="minorEastAsia"/>
              <w:i w:val="0"/>
              <w:iCs w:val="0"/>
              <w:sz w:val="30"/>
              <w:szCs w:val="30"/>
            </w:rPr>
            <w:t>- 40 -</w:t>
          </w:r>
          <w:r>
            <w:rPr>
              <w:rFonts w:asciiTheme="minorEastAsia" w:hAnsiTheme="minorEastAsia" w:eastAsiaTheme="minorEastAsia"/>
              <w:i w:val="0"/>
              <w:iCs w:val="0"/>
              <w:sz w:val="30"/>
              <w:szCs w:val="30"/>
            </w:rPr>
            <w:fldChar w:fldCharType="end"/>
          </w:r>
          <w:r>
            <w:rPr>
              <w:rFonts w:asciiTheme="minorEastAsia" w:hAnsiTheme="minorEastAsia" w:eastAsiaTheme="minorEastAsia"/>
              <w:i w:val="0"/>
              <w:iCs w:val="0"/>
              <w:sz w:val="30"/>
              <w:szCs w:val="30"/>
            </w:rPr>
            <w:fldChar w:fldCharType="end"/>
          </w:r>
        </w:p>
        <w:p>
          <w:pPr>
            <w:pStyle w:val="14"/>
            <w:tabs>
              <w:tab w:val="right" w:leader="dot" w:pos="8296"/>
            </w:tabs>
            <w:adjustRightInd w:val="0"/>
            <w:snapToGrid w:val="0"/>
            <w:spacing w:line="360" w:lineRule="auto"/>
            <w:ind w:left="0"/>
            <w:rPr>
              <w:rFonts w:asciiTheme="minorEastAsia" w:hAnsiTheme="minorEastAsia" w:eastAsiaTheme="minorEastAsia"/>
              <w:smallCaps w:val="0"/>
              <w:sz w:val="30"/>
              <w:szCs w:val="30"/>
            </w:rPr>
          </w:pPr>
          <w:r>
            <w:fldChar w:fldCharType="begin"/>
          </w:r>
          <w:r>
            <w:instrText xml:space="preserve"> HYPERLINK \l "_Toc93509814" </w:instrText>
          </w:r>
          <w:r>
            <w:fldChar w:fldCharType="separate"/>
          </w:r>
          <w:r>
            <w:rPr>
              <w:rStyle w:val="19"/>
              <w:rFonts w:asciiTheme="minorEastAsia" w:hAnsiTheme="minorEastAsia" w:eastAsiaTheme="minorEastAsia"/>
              <w:b/>
              <w:bCs/>
              <w:sz w:val="30"/>
              <w:szCs w:val="30"/>
            </w:rPr>
            <w:t>第三部分  调查常见问题及解答</w:t>
          </w:r>
          <w:r>
            <w:rPr>
              <w:rFonts w:asciiTheme="minorEastAsia" w:hAnsiTheme="minorEastAsia" w:eastAsiaTheme="minorEastAsia"/>
              <w:b/>
              <w:bCs/>
              <w:sz w:val="30"/>
              <w:szCs w:val="30"/>
            </w:rPr>
            <w:tab/>
          </w:r>
          <w:r>
            <w:rPr>
              <w:rFonts w:asciiTheme="minorEastAsia" w:hAnsiTheme="minorEastAsia" w:eastAsiaTheme="minorEastAsia"/>
              <w:b/>
              <w:bCs/>
              <w:sz w:val="30"/>
              <w:szCs w:val="30"/>
            </w:rPr>
            <w:fldChar w:fldCharType="begin"/>
          </w:r>
          <w:r>
            <w:rPr>
              <w:rFonts w:asciiTheme="minorEastAsia" w:hAnsiTheme="minorEastAsia" w:eastAsiaTheme="minorEastAsia"/>
              <w:b/>
              <w:bCs/>
              <w:sz w:val="30"/>
              <w:szCs w:val="30"/>
            </w:rPr>
            <w:instrText xml:space="preserve"> PAGEREF _Toc93509814 \h </w:instrText>
          </w:r>
          <w:r>
            <w:rPr>
              <w:rFonts w:asciiTheme="minorEastAsia" w:hAnsiTheme="minorEastAsia" w:eastAsiaTheme="minorEastAsia"/>
              <w:b/>
              <w:bCs/>
              <w:sz w:val="30"/>
              <w:szCs w:val="30"/>
            </w:rPr>
            <w:fldChar w:fldCharType="separate"/>
          </w:r>
          <w:r>
            <w:rPr>
              <w:rFonts w:asciiTheme="minorEastAsia" w:hAnsiTheme="minorEastAsia" w:eastAsiaTheme="minorEastAsia"/>
              <w:b/>
              <w:bCs/>
              <w:sz w:val="30"/>
              <w:szCs w:val="30"/>
            </w:rPr>
            <w:t>- 41 -</w:t>
          </w:r>
          <w:r>
            <w:rPr>
              <w:rFonts w:asciiTheme="minorEastAsia" w:hAnsiTheme="minorEastAsia" w:eastAsiaTheme="minorEastAsia"/>
              <w:b/>
              <w:bCs/>
              <w:sz w:val="30"/>
              <w:szCs w:val="30"/>
            </w:rPr>
            <w:fldChar w:fldCharType="end"/>
          </w:r>
          <w:r>
            <w:rPr>
              <w:rFonts w:asciiTheme="minorEastAsia" w:hAnsiTheme="minorEastAsia" w:eastAsiaTheme="minorEastAsia"/>
              <w:b/>
              <w:bCs/>
              <w:sz w:val="30"/>
              <w:szCs w:val="30"/>
            </w:rPr>
            <w:fldChar w:fldCharType="end"/>
          </w:r>
        </w:p>
        <w:p>
          <w:pPr>
            <w:pStyle w:val="14"/>
            <w:tabs>
              <w:tab w:val="right" w:leader="dot" w:pos="8296"/>
            </w:tabs>
            <w:adjustRightInd w:val="0"/>
            <w:snapToGrid w:val="0"/>
            <w:spacing w:line="360" w:lineRule="auto"/>
            <w:ind w:left="0"/>
            <w:rPr>
              <w:rFonts w:asciiTheme="minorEastAsia" w:hAnsiTheme="minorEastAsia" w:eastAsiaTheme="minorEastAsia"/>
              <w:smallCaps w:val="0"/>
              <w:sz w:val="30"/>
              <w:szCs w:val="30"/>
            </w:rPr>
          </w:pPr>
          <w:r>
            <w:fldChar w:fldCharType="begin"/>
          </w:r>
          <w:r>
            <w:instrText xml:space="preserve"> HYPERLINK \l "_Toc93509815" </w:instrText>
          </w:r>
          <w:r>
            <w:fldChar w:fldCharType="separate"/>
          </w:r>
          <w:r>
            <w:rPr>
              <w:rStyle w:val="19"/>
              <w:rFonts w:cs="黑体" w:asciiTheme="minorEastAsia" w:hAnsiTheme="minorEastAsia" w:eastAsiaTheme="minorEastAsia"/>
              <w:sz w:val="30"/>
              <w:szCs w:val="30"/>
            </w:rPr>
            <w:t>一、填报中的常见问题解答</w:t>
          </w:r>
          <w:r>
            <w:rPr>
              <w:rFonts w:asciiTheme="minorEastAsia" w:hAnsiTheme="minorEastAsia" w:eastAsiaTheme="minorEastAsia"/>
              <w:sz w:val="30"/>
              <w:szCs w:val="30"/>
            </w:rPr>
            <w:tab/>
          </w: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 PAGEREF _Toc93509815 \h </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rPr>
            <w:t>- 41 -</w:t>
          </w:r>
          <w:r>
            <w:rPr>
              <w:rFonts w:asciiTheme="minorEastAsia" w:hAnsiTheme="minorEastAsia" w:eastAsiaTheme="minorEastAsia"/>
              <w:sz w:val="30"/>
              <w:szCs w:val="30"/>
            </w:rPr>
            <w:fldChar w:fldCharType="end"/>
          </w:r>
          <w:r>
            <w:rPr>
              <w:rFonts w:asciiTheme="minorEastAsia" w:hAnsiTheme="minorEastAsia" w:eastAsiaTheme="minorEastAsia"/>
              <w:sz w:val="30"/>
              <w:szCs w:val="30"/>
            </w:rPr>
            <w:fldChar w:fldCharType="end"/>
          </w:r>
        </w:p>
        <w:p>
          <w:pPr>
            <w:pStyle w:val="14"/>
            <w:tabs>
              <w:tab w:val="right" w:leader="dot" w:pos="8296"/>
            </w:tabs>
            <w:adjustRightInd w:val="0"/>
            <w:snapToGrid w:val="0"/>
            <w:spacing w:line="360" w:lineRule="auto"/>
            <w:ind w:left="0"/>
            <w:rPr>
              <w:rFonts w:asciiTheme="minorEastAsia" w:hAnsiTheme="minorEastAsia" w:eastAsiaTheme="minorEastAsia"/>
              <w:smallCaps w:val="0"/>
              <w:sz w:val="30"/>
              <w:szCs w:val="30"/>
            </w:rPr>
          </w:pPr>
          <w:r>
            <w:fldChar w:fldCharType="begin"/>
          </w:r>
          <w:r>
            <w:instrText xml:space="preserve"> HYPERLINK \l "_Toc93509816" </w:instrText>
          </w:r>
          <w:r>
            <w:fldChar w:fldCharType="separate"/>
          </w:r>
          <w:r>
            <w:rPr>
              <w:rStyle w:val="19"/>
              <w:rFonts w:cs="黑体" w:asciiTheme="minorEastAsia" w:hAnsiTheme="minorEastAsia" w:eastAsiaTheme="minorEastAsia"/>
              <w:sz w:val="30"/>
              <w:szCs w:val="30"/>
            </w:rPr>
            <w:t>二、常见错误类型</w:t>
          </w:r>
          <w:r>
            <w:rPr>
              <w:rFonts w:asciiTheme="minorEastAsia" w:hAnsiTheme="minorEastAsia" w:eastAsiaTheme="minorEastAsia"/>
              <w:sz w:val="30"/>
              <w:szCs w:val="30"/>
            </w:rPr>
            <w:tab/>
          </w: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 PAGEREF _Toc93509816 \h </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rPr>
            <w:t>- 43 -</w:t>
          </w:r>
          <w:r>
            <w:rPr>
              <w:rFonts w:asciiTheme="minorEastAsia" w:hAnsiTheme="minorEastAsia" w:eastAsiaTheme="minorEastAsia"/>
              <w:sz w:val="30"/>
              <w:szCs w:val="30"/>
            </w:rPr>
            <w:fldChar w:fldCharType="end"/>
          </w:r>
          <w:r>
            <w:rPr>
              <w:rFonts w:asciiTheme="minorEastAsia" w:hAnsiTheme="minorEastAsia" w:eastAsiaTheme="minorEastAsia"/>
              <w:sz w:val="30"/>
              <w:szCs w:val="30"/>
            </w:rPr>
            <w:fldChar w:fldCharType="end"/>
          </w:r>
        </w:p>
        <w:p>
          <w:pPr>
            <w:pStyle w:val="14"/>
            <w:tabs>
              <w:tab w:val="right" w:leader="dot" w:pos="8296"/>
            </w:tabs>
            <w:adjustRightInd w:val="0"/>
            <w:snapToGrid w:val="0"/>
            <w:spacing w:line="360" w:lineRule="auto"/>
            <w:ind w:left="0"/>
            <w:rPr>
              <w:rFonts w:asciiTheme="minorEastAsia" w:hAnsiTheme="minorEastAsia" w:eastAsiaTheme="minorEastAsia"/>
              <w:smallCaps w:val="0"/>
              <w:sz w:val="30"/>
              <w:szCs w:val="30"/>
            </w:rPr>
          </w:pPr>
          <w:r>
            <w:fldChar w:fldCharType="begin"/>
          </w:r>
          <w:r>
            <w:instrText xml:space="preserve"> HYPERLINK \l "_Toc93509817" </w:instrText>
          </w:r>
          <w:r>
            <w:fldChar w:fldCharType="separate"/>
          </w:r>
          <w:r>
            <w:rPr>
              <w:rStyle w:val="19"/>
              <w:rFonts w:asciiTheme="minorEastAsia" w:hAnsiTheme="minorEastAsia" w:eastAsiaTheme="minorEastAsia"/>
              <w:b/>
              <w:bCs/>
              <w:sz w:val="30"/>
              <w:szCs w:val="30"/>
            </w:rPr>
            <w:t>第四部分 附录</w:t>
          </w:r>
          <w:r>
            <w:rPr>
              <w:rFonts w:asciiTheme="minorEastAsia" w:hAnsiTheme="minorEastAsia" w:eastAsiaTheme="minorEastAsia"/>
              <w:b/>
              <w:bCs/>
              <w:sz w:val="30"/>
              <w:szCs w:val="30"/>
            </w:rPr>
            <w:tab/>
          </w:r>
          <w:r>
            <w:rPr>
              <w:rFonts w:asciiTheme="minorEastAsia" w:hAnsiTheme="minorEastAsia" w:eastAsiaTheme="minorEastAsia"/>
              <w:b/>
              <w:bCs/>
              <w:sz w:val="30"/>
              <w:szCs w:val="30"/>
            </w:rPr>
            <w:fldChar w:fldCharType="begin"/>
          </w:r>
          <w:r>
            <w:rPr>
              <w:rFonts w:asciiTheme="minorEastAsia" w:hAnsiTheme="minorEastAsia" w:eastAsiaTheme="minorEastAsia"/>
              <w:b/>
              <w:bCs/>
              <w:sz w:val="30"/>
              <w:szCs w:val="30"/>
            </w:rPr>
            <w:instrText xml:space="preserve"> PAGEREF _Toc93509817 \h </w:instrText>
          </w:r>
          <w:r>
            <w:rPr>
              <w:rFonts w:asciiTheme="minorEastAsia" w:hAnsiTheme="minorEastAsia" w:eastAsiaTheme="minorEastAsia"/>
              <w:b/>
              <w:bCs/>
              <w:sz w:val="30"/>
              <w:szCs w:val="30"/>
            </w:rPr>
            <w:fldChar w:fldCharType="separate"/>
          </w:r>
          <w:r>
            <w:rPr>
              <w:rFonts w:asciiTheme="minorEastAsia" w:hAnsiTheme="minorEastAsia" w:eastAsiaTheme="minorEastAsia"/>
              <w:b/>
              <w:bCs/>
              <w:sz w:val="30"/>
              <w:szCs w:val="30"/>
            </w:rPr>
            <w:t>- 48 -</w:t>
          </w:r>
          <w:r>
            <w:rPr>
              <w:rFonts w:asciiTheme="minorEastAsia" w:hAnsiTheme="minorEastAsia" w:eastAsiaTheme="minorEastAsia"/>
              <w:b/>
              <w:bCs/>
              <w:sz w:val="30"/>
              <w:szCs w:val="30"/>
            </w:rPr>
            <w:fldChar w:fldCharType="end"/>
          </w:r>
          <w:r>
            <w:rPr>
              <w:rFonts w:asciiTheme="minorEastAsia" w:hAnsiTheme="minorEastAsia" w:eastAsiaTheme="minorEastAsia"/>
              <w:b/>
              <w:bCs/>
              <w:sz w:val="30"/>
              <w:szCs w:val="30"/>
            </w:rPr>
            <w:fldChar w:fldCharType="end"/>
          </w: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fldChar w:fldCharType="begin"/>
          </w:r>
          <w:r>
            <w:instrText xml:space="preserve"> HYPERLINK \l "_Toc93509818" </w:instrText>
          </w:r>
          <w:r>
            <w:fldChar w:fldCharType="separate"/>
          </w:r>
          <w:r>
            <w:rPr>
              <w:rStyle w:val="19"/>
              <w:rFonts w:cs="黑体" w:asciiTheme="minorEastAsia" w:hAnsiTheme="minorEastAsia" w:eastAsiaTheme="minorEastAsia"/>
              <w:i w:val="0"/>
              <w:iCs w:val="0"/>
              <w:sz w:val="30"/>
              <w:szCs w:val="30"/>
            </w:rPr>
            <w:t>一、</w:t>
          </w:r>
          <w:r>
            <w:rPr>
              <w:rStyle w:val="19"/>
              <w:rFonts w:asciiTheme="minorEastAsia" w:hAnsiTheme="minorEastAsia" w:eastAsiaTheme="minorEastAsia"/>
              <w:i w:val="0"/>
              <w:iCs w:val="0"/>
              <w:sz w:val="30"/>
              <w:szCs w:val="30"/>
            </w:rPr>
            <w:t>企业薪酬调查数据审核评估参考维度</w:t>
          </w:r>
          <w:r>
            <w:rPr>
              <w:rFonts w:asciiTheme="minorEastAsia" w:hAnsiTheme="minorEastAsia" w:eastAsiaTheme="minorEastAsia"/>
              <w:i w:val="0"/>
              <w:iCs w:val="0"/>
              <w:sz w:val="30"/>
              <w:szCs w:val="30"/>
            </w:rPr>
            <w:tab/>
          </w: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PAGEREF _Toc93509818 \h </w:instrText>
          </w:r>
          <w:r>
            <w:rPr>
              <w:rFonts w:asciiTheme="minorEastAsia" w:hAnsiTheme="minorEastAsia" w:eastAsiaTheme="minorEastAsia"/>
              <w:i w:val="0"/>
              <w:iCs w:val="0"/>
              <w:sz w:val="30"/>
              <w:szCs w:val="30"/>
            </w:rPr>
            <w:fldChar w:fldCharType="separate"/>
          </w:r>
          <w:r>
            <w:rPr>
              <w:rFonts w:asciiTheme="minorEastAsia" w:hAnsiTheme="minorEastAsia" w:eastAsiaTheme="minorEastAsia"/>
              <w:i w:val="0"/>
              <w:iCs w:val="0"/>
              <w:sz w:val="30"/>
              <w:szCs w:val="30"/>
            </w:rPr>
            <w:t>- 48 -</w:t>
          </w:r>
          <w:r>
            <w:rPr>
              <w:rFonts w:asciiTheme="minorEastAsia" w:hAnsiTheme="minorEastAsia" w:eastAsiaTheme="minorEastAsia"/>
              <w:i w:val="0"/>
              <w:iCs w:val="0"/>
              <w:sz w:val="30"/>
              <w:szCs w:val="30"/>
            </w:rPr>
            <w:fldChar w:fldCharType="end"/>
          </w:r>
          <w:r>
            <w:rPr>
              <w:rFonts w:asciiTheme="minorEastAsia" w:hAnsiTheme="minorEastAsia" w:eastAsiaTheme="minorEastAsia"/>
              <w:i w:val="0"/>
              <w:iCs w:val="0"/>
              <w:sz w:val="30"/>
              <w:szCs w:val="30"/>
            </w:rPr>
            <w:fldChar w:fldCharType="end"/>
          </w:r>
        </w:p>
        <w:p>
          <w:pPr>
            <w:pStyle w:val="9"/>
            <w:tabs>
              <w:tab w:val="right" w:leader="dot" w:pos="8296"/>
            </w:tabs>
            <w:adjustRightInd w:val="0"/>
            <w:snapToGrid w:val="0"/>
            <w:spacing w:line="360" w:lineRule="auto"/>
            <w:ind w:left="0"/>
            <w:rPr>
              <w:rFonts w:asciiTheme="minorEastAsia" w:hAnsiTheme="minorEastAsia" w:eastAsiaTheme="minorEastAsia"/>
              <w:i w:val="0"/>
              <w:iCs w:val="0"/>
              <w:sz w:val="30"/>
              <w:szCs w:val="30"/>
            </w:rPr>
          </w:pPr>
          <w:r>
            <w:fldChar w:fldCharType="begin"/>
          </w:r>
          <w:r>
            <w:instrText xml:space="preserve"> HYPERLINK \l "_Toc93509819" </w:instrText>
          </w:r>
          <w:r>
            <w:fldChar w:fldCharType="separate"/>
          </w:r>
          <w:r>
            <w:rPr>
              <w:rStyle w:val="19"/>
              <w:rFonts w:cs="黑体" w:asciiTheme="minorEastAsia" w:hAnsiTheme="minorEastAsia" w:eastAsiaTheme="minorEastAsia"/>
              <w:i w:val="0"/>
              <w:iCs w:val="0"/>
              <w:sz w:val="30"/>
              <w:szCs w:val="30"/>
            </w:rPr>
            <w:t>二、统计法规</w:t>
          </w:r>
          <w:r>
            <w:rPr>
              <w:rStyle w:val="19"/>
              <w:rFonts w:hint="eastAsia" w:cs="黑体" w:asciiTheme="minorEastAsia" w:hAnsiTheme="minorEastAsia" w:eastAsiaTheme="minorEastAsia"/>
              <w:i w:val="0"/>
              <w:iCs w:val="0"/>
              <w:sz w:val="30"/>
              <w:szCs w:val="30"/>
            </w:rPr>
            <w:t>资料参考</w:t>
          </w:r>
          <w:r>
            <w:rPr>
              <w:rFonts w:asciiTheme="minorEastAsia" w:hAnsiTheme="minorEastAsia" w:eastAsiaTheme="minorEastAsia"/>
              <w:i w:val="0"/>
              <w:iCs w:val="0"/>
              <w:sz w:val="30"/>
              <w:szCs w:val="30"/>
            </w:rPr>
            <w:tab/>
          </w:r>
          <w:r>
            <w:rPr>
              <w:rFonts w:asciiTheme="minorEastAsia" w:hAnsiTheme="minorEastAsia" w:eastAsiaTheme="minorEastAsia"/>
              <w:i w:val="0"/>
              <w:iCs w:val="0"/>
              <w:sz w:val="30"/>
              <w:szCs w:val="30"/>
            </w:rPr>
            <w:fldChar w:fldCharType="begin"/>
          </w:r>
          <w:r>
            <w:rPr>
              <w:rFonts w:asciiTheme="minorEastAsia" w:hAnsiTheme="minorEastAsia" w:eastAsiaTheme="minorEastAsia"/>
              <w:i w:val="0"/>
              <w:iCs w:val="0"/>
              <w:sz w:val="30"/>
              <w:szCs w:val="30"/>
            </w:rPr>
            <w:instrText xml:space="preserve"> PAGEREF _Toc93509819 \h </w:instrText>
          </w:r>
          <w:r>
            <w:rPr>
              <w:rFonts w:asciiTheme="minorEastAsia" w:hAnsiTheme="minorEastAsia" w:eastAsiaTheme="minorEastAsia"/>
              <w:i w:val="0"/>
              <w:iCs w:val="0"/>
              <w:sz w:val="30"/>
              <w:szCs w:val="30"/>
            </w:rPr>
            <w:fldChar w:fldCharType="separate"/>
          </w:r>
          <w:r>
            <w:rPr>
              <w:rFonts w:asciiTheme="minorEastAsia" w:hAnsiTheme="minorEastAsia" w:eastAsiaTheme="minorEastAsia"/>
              <w:i w:val="0"/>
              <w:iCs w:val="0"/>
              <w:sz w:val="30"/>
              <w:szCs w:val="30"/>
            </w:rPr>
            <w:t>- 50 -</w:t>
          </w:r>
          <w:r>
            <w:rPr>
              <w:rFonts w:asciiTheme="minorEastAsia" w:hAnsiTheme="minorEastAsia" w:eastAsiaTheme="minorEastAsia"/>
              <w:i w:val="0"/>
              <w:iCs w:val="0"/>
              <w:sz w:val="30"/>
              <w:szCs w:val="30"/>
            </w:rPr>
            <w:fldChar w:fldCharType="end"/>
          </w:r>
          <w:r>
            <w:rPr>
              <w:rFonts w:asciiTheme="minorEastAsia" w:hAnsiTheme="minorEastAsia" w:eastAsiaTheme="minorEastAsia"/>
              <w:i w:val="0"/>
              <w:iCs w:val="0"/>
              <w:sz w:val="30"/>
              <w:szCs w:val="30"/>
            </w:rPr>
            <w:fldChar w:fldCharType="end"/>
          </w:r>
        </w:p>
        <w:p>
          <w:pPr>
            <w:adjustRightInd w:val="0"/>
            <w:snapToGrid w:val="0"/>
            <w:spacing w:line="360" w:lineRule="auto"/>
            <w:jc w:val="left"/>
            <w:rPr>
              <w:rFonts w:asciiTheme="minorEastAsia" w:hAnsiTheme="minorEastAsia"/>
              <w:sz w:val="30"/>
              <w:szCs w:val="30"/>
            </w:rPr>
          </w:pPr>
          <w:r>
            <w:rPr>
              <w:rFonts w:asciiTheme="minorEastAsia" w:hAnsiTheme="minorEastAsia"/>
              <w:sz w:val="30"/>
              <w:szCs w:val="30"/>
            </w:rPr>
            <w:fldChar w:fldCharType="end"/>
          </w:r>
        </w:p>
      </w:sdtContent>
    </w:sdt>
    <w:p>
      <w:pPr>
        <w:spacing w:line="300" w:lineRule="auto"/>
        <w:rPr>
          <w:rFonts w:eastAsia="仿宋"/>
          <w:sz w:val="28"/>
          <w:szCs w:val="28"/>
        </w:rPr>
        <w:sectPr>
          <w:footerReference r:id="rId5" w:type="default"/>
          <w:pgSz w:w="11906" w:h="16838"/>
          <w:pgMar w:top="1440" w:right="1800" w:bottom="1440" w:left="1800" w:header="851" w:footer="992" w:gutter="0"/>
          <w:pgNumType w:fmt="numberInDash" w:start="1"/>
          <w:cols w:space="720" w:num="1"/>
          <w:docGrid w:linePitch="435" w:charSpace="0"/>
        </w:sectPr>
      </w:pPr>
    </w:p>
    <w:p>
      <w:pPr>
        <w:pStyle w:val="25"/>
        <w:adjustRightInd w:val="0"/>
        <w:snapToGrid w:val="0"/>
        <w:spacing w:before="0" w:after="0" w:line="360" w:lineRule="auto"/>
        <w:ind w:firstLine="0" w:firstLineChars="0"/>
        <w:jc w:val="center"/>
        <w:rPr>
          <w:rFonts w:ascii="黑体" w:hAnsi="黑体" w:cs="黑体"/>
          <w:b w:val="0"/>
          <w:sz w:val="44"/>
          <w:szCs w:val="44"/>
        </w:rPr>
      </w:pPr>
      <w:bookmarkStart w:id="1" w:name="_Toc12602"/>
      <w:bookmarkStart w:id="2" w:name="_Toc477337973"/>
      <w:bookmarkStart w:id="3" w:name="_Toc386551017"/>
      <w:bookmarkStart w:id="4" w:name="_Toc386552329"/>
      <w:bookmarkStart w:id="5" w:name="_Toc11642"/>
      <w:bookmarkStart w:id="6" w:name="_Toc386552421"/>
      <w:bookmarkStart w:id="7" w:name="_Toc12637"/>
      <w:bookmarkStart w:id="8" w:name="_Toc1281"/>
      <w:bookmarkStart w:id="9" w:name="_Toc22970"/>
      <w:bookmarkStart w:id="10" w:name="_Toc18425"/>
      <w:bookmarkStart w:id="11" w:name="_Toc516776662"/>
      <w:bookmarkStart w:id="12" w:name="_Toc32029"/>
      <w:bookmarkStart w:id="13" w:name="_Toc386209303"/>
      <w:bookmarkStart w:id="14" w:name="_Toc93509808"/>
      <w:r>
        <w:rPr>
          <w:rFonts w:hint="eastAsia" w:ascii="黑体" w:hAnsi="黑体" w:cs="黑体"/>
          <w:b w:val="0"/>
          <w:sz w:val="44"/>
          <w:szCs w:val="44"/>
        </w:rPr>
        <w:t>第一部分</w:t>
      </w:r>
      <w:bookmarkEnd w:id="1"/>
      <w:bookmarkEnd w:id="2"/>
      <w:bookmarkEnd w:id="3"/>
      <w:bookmarkEnd w:id="4"/>
      <w:bookmarkEnd w:id="5"/>
      <w:bookmarkEnd w:id="6"/>
      <w:bookmarkEnd w:id="7"/>
      <w:bookmarkEnd w:id="8"/>
      <w:bookmarkEnd w:id="9"/>
      <w:bookmarkEnd w:id="10"/>
      <w:bookmarkEnd w:id="11"/>
      <w:bookmarkEnd w:id="12"/>
      <w:bookmarkEnd w:id="13"/>
      <w:bookmarkStart w:id="15" w:name="_Toc24156"/>
      <w:bookmarkStart w:id="16" w:name="_Toc27489"/>
      <w:bookmarkStart w:id="17" w:name="_Toc31302"/>
      <w:bookmarkStart w:id="18" w:name="_Toc477337974"/>
      <w:bookmarkStart w:id="19" w:name="_Toc386551018"/>
      <w:bookmarkStart w:id="20" w:name="_Toc9410"/>
      <w:bookmarkStart w:id="21" w:name="_Toc2597"/>
      <w:bookmarkStart w:id="22" w:name="_Toc12140"/>
      <w:bookmarkStart w:id="23" w:name="_Toc29165154"/>
      <w:bookmarkStart w:id="24" w:name="_Toc386552422"/>
      <w:bookmarkStart w:id="25" w:name="_Toc24872"/>
      <w:bookmarkStart w:id="26" w:name="_Toc386552330"/>
      <w:bookmarkStart w:id="27" w:name="_Toc1416"/>
      <w:bookmarkStart w:id="28" w:name="_Toc25516"/>
      <w:bookmarkStart w:id="29" w:name="_Toc29431"/>
      <w:bookmarkStart w:id="30" w:name="_Toc30921"/>
      <w:bookmarkStart w:id="31" w:name="_Toc386209304"/>
      <w:bookmarkStart w:id="32" w:name="_Toc516776663"/>
      <w:bookmarkStart w:id="33" w:name="_Toc335922566"/>
      <w:bookmarkStart w:id="34" w:name="_Toc24040"/>
      <w:r>
        <w:rPr>
          <w:rFonts w:hint="eastAsia" w:ascii="黑体" w:hAnsi="黑体" w:cs="黑体"/>
          <w:b w:val="0"/>
          <w:sz w:val="44"/>
          <w:szCs w:val="44"/>
        </w:rPr>
        <w:t xml:space="preserve">  企业薪酬调查概述</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adjustRightInd w:val="0"/>
        <w:snapToGrid w:val="0"/>
        <w:spacing w:line="360" w:lineRule="auto"/>
        <w:ind w:firstLine="708" w:firstLineChars="236"/>
        <w:outlineLvl w:val="1"/>
        <w:rPr>
          <w:rFonts w:ascii="黑体" w:hAnsi="黑体" w:cs="黑体"/>
          <w:sz w:val="30"/>
          <w:szCs w:val="30"/>
        </w:rPr>
      </w:pPr>
      <w:bookmarkStart w:id="35" w:name="_Toc477337975"/>
      <w:bookmarkStart w:id="36" w:name="_Toc386552331"/>
      <w:bookmarkStart w:id="37" w:name="_Toc15889"/>
      <w:bookmarkStart w:id="38" w:name="_Toc92485895"/>
      <w:bookmarkStart w:id="39" w:name="_Toc3173"/>
      <w:bookmarkStart w:id="40" w:name="_Toc80"/>
      <w:bookmarkStart w:id="41" w:name="_Toc386551019"/>
      <w:bookmarkStart w:id="42" w:name="_Toc17601"/>
      <w:bookmarkStart w:id="43" w:name="_Toc386552423"/>
      <w:bookmarkStart w:id="44" w:name="_Toc386209305"/>
      <w:bookmarkStart w:id="45" w:name="_Toc17817"/>
      <w:bookmarkStart w:id="46" w:name="_Toc10108"/>
      <w:bookmarkStart w:id="47" w:name="_Toc516776664"/>
      <w:bookmarkStart w:id="48" w:name="_Toc8173"/>
      <w:bookmarkStart w:id="49" w:name="_Toc29165155"/>
      <w:r>
        <w:rPr>
          <w:rFonts w:hint="eastAsia" w:ascii="黑体" w:hAnsi="黑体" w:eastAsia="黑体" w:cs="黑体"/>
          <w:sz w:val="30"/>
          <w:szCs w:val="30"/>
        </w:rPr>
        <w:t>一、企业薪酬调查的基本概念</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22"/>
        <w:adjustRightInd w:val="0"/>
        <w:snapToGrid w:val="0"/>
        <w:spacing w:after="0" w:line="360" w:lineRule="auto"/>
        <w:ind w:firstLine="600" w:firstLineChars="200"/>
        <w:rPr>
          <w:rFonts w:ascii="楷体" w:hAnsi="楷体" w:eastAsia="楷体" w:cs="仿宋"/>
          <w:sz w:val="30"/>
          <w:szCs w:val="30"/>
        </w:rPr>
      </w:pPr>
      <w:r>
        <w:rPr>
          <w:rFonts w:hint="eastAsia" w:ascii="楷体" w:hAnsi="楷体" w:eastAsia="楷体" w:cs="仿宋"/>
          <w:sz w:val="30"/>
          <w:szCs w:val="30"/>
        </w:rPr>
        <w:t>（一）调查目的</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统计分析不同行业企业人工成本情况和不同职业劳动者工资报酬情况，为政府宏观决策提供支持，为企业调整生产经营、与劳动者合理协商确定工资报酬水平提供数据参考。</w:t>
      </w:r>
    </w:p>
    <w:p>
      <w:pPr>
        <w:pStyle w:val="22"/>
        <w:adjustRightInd w:val="0"/>
        <w:snapToGrid w:val="0"/>
        <w:spacing w:after="0" w:line="360" w:lineRule="auto"/>
        <w:ind w:firstLine="600" w:firstLineChars="200"/>
        <w:rPr>
          <w:rFonts w:ascii="楷体" w:hAnsi="楷体" w:eastAsia="楷体" w:cs="仿宋"/>
          <w:sz w:val="30"/>
          <w:szCs w:val="30"/>
        </w:rPr>
      </w:pPr>
      <w:r>
        <w:rPr>
          <w:rFonts w:hint="eastAsia" w:ascii="楷体" w:hAnsi="楷体" w:eastAsia="楷体" w:cs="仿宋"/>
          <w:sz w:val="30"/>
          <w:szCs w:val="30"/>
        </w:rPr>
        <w:t>（二）调查对象和统计范围</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调查对象分两类：一是农林牧渔业，采矿业，制造业等18个行业门类（90个大类）各种登记注册类型的企业法人单位；二是由企业支付工资报酬（劳动报酬）的劳动者。</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调查范围是：全国31个省（自治区、直辖市）。调查覆盖18个国民经济行业门类（不含公共管理、社会保障和社会组织以及国际组织行业门类）各类登记注册类型的企业、各类职业从业人员（不含军人和不便分类的其他从业人员）。</w:t>
      </w:r>
    </w:p>
    <w:p>
      <w:pPr>
        <w:pStyle w:val="22"/>
        <w:adjustRightInd w:val="0"/>
        <w:snapToGrid w:val="0"/>
        <w:spacing w:after="0" w:line="360" w:lineRule="auto"/>
        <w:ind w:firstLine="600" w:firstLineChars="200"/>
        <w:rPr>
          <w:rFonts w:ascii="楷体" w:hAnsi="楷体" w:eastAsia="楷体" w:cs="仿宋"/>
          <w:sz w:val="30"/>
          <w:szCs w:val="30"/>
        </w:rPr>
      </w:pPr>
      <w:r>
        <w:rPr>
          <w:rFonts w:hint="eastAsia" w:ascii="楷体" w:hAnsi="楷体" w:eastAsia="楷体" w:cs="仿宋"/>
          <w:sz w:val="30"/>
          <w:szCs w:val="30"/>
        </w:rPr>
        <w:t>（三）调查内容</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调查内容主要有四项：</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一是企业基本情况，包括企业所属行业、企业规模、登记注册类型、从业人员平均人数等；</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二是企业人工成本情况，包括销售收入、固定资产折旧、主营业务税金及附加、利润总额、成本费用总额、从业人员工资总额、福利费用、教育经费、保险费用、从业人员平均工资年度预期增长率等指标；</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三是企业从业人员工资报酬情况，包括企业中劳动者的性别、出生年份、学历、参加工作年份、职业、技术技能等级、用工形式、劳动合同类型、全年周平均工作小时数、是否工会会员、全年工资报酬合计等指标；</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四是新就业形态劳动者劳动报酬情况，包括新就业形态劳动者的性别、出生年份、学历、职业、工作所在地、全年实际工作月数、全年平台在线时长合计、全年实际服务时长合计、全年劳动报酬合计及其分项等指标。</w:t>
      </w:r>
      <w:bookmarkStart w:id="50" w:name="_Hlk93479445"/>
      <w:r>
        <w:rPr>
          <w:rFonts w:hint="eastAsia" w:ascii="仿宋" w:hAnsi="仿宋" w:eastAsia="仿宋" w:cs="仿宋"/>
          <w:b/>
          <w:bCs/>
          <w:color w:val="C00000"/>
          <w:sz w:val="30"/>
          <w:szCs w:val="30"/>
        </w:rPr>
        <w:t>新就业形态劳动者劳动报酬情况指标填报解释将另行成册。</w:t>
      </w:r>
    </w:p>
    <w:bookmarkEnd w:id="50"/>
    <w:p>
      <w:pPr>
        <w:pStyle w:val="22"/>
        <w:adjustRightInd w:val="0"/>
        <w:snapToGrid w:val="0"/>
        <w:spacing w:after="0" w:line="360" w:lineRule="auto"/>
        <w:ind w:firstLine="600" w:firstLineChars="200"/>
        <w:rPr>
          <w:rFonts w:ascii="黑体" w:hAnsi="黑体" w:eastAsia="黑体" w:cs="黑体"/>
          <w:sz w:val="30"/>
          <w:szCs w:val="30"/>
        </w:rPr>
      </w:pPr>
      <w:r>
        <w:rPr>
          <w:rFonts w:hint="eastAsia" w:ascii="黑体" w:hAnsi="黑体" w:eastAsia="黑体" w:cs="黑体"/>
          <w:sz w:val="30"/>
          <w:szCs w:val="30"/>
        </w:rPr>
        <w:t>二、与国家统计局劳动工资统计的区别</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我国自上世纪50年代就开始进行劳动统计，采用全面调查方法，统计并公布城镇非私营单位在岗职工平均工资，近几年又开展了城镇私营单位就业人员的平均工资统计，在我国经济和社会发展中发挥了重要作用。</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企业薪酬调查与劳动统计是两个相互联系又相对独立的调查统计。劳动统计的着眼点是一个单位的</w:t>
      </w:r>
      <w:r>
        <w:rPr>
          <w:rFonts w:hint="eastAsia" w:ascii="仿宋" w:hAnsi="仿宋" w:eastAsia="仿宋" w:cs="仿宋"/>
          <w:sz w:val="30"/>
          <w:szCs w:val="30"/>
          <w:em w:val="dot"/>
        </w:rPr>
        <w:t>平均工资</w:t>
      </w:r>
      <w:r>
        <w:rPr>
          <w:rFonts w:hint="eastAsia" w:ascii="仿宋" w:hAnsi="仿宋" w:eastAsia="仿宋" w:cs="仿宋"/>
          <w:sz w:val="30"/>
          <w:szCs w:val="30"/>
        </w:rPr>
        <w:t>，反映的是该单位平均工资状况；而企业薪酬调查的着眼点是在这个企业内，企业负责人、企业内部部门负责人、一线普通职工分别拿了多少工资，进而反映某个职业，比如企业经理、生产运输工人的工资水平。要说区别的话，劳动统计更宏观一点，反映不同单位、不同行业及全社会的平均工资水平，企业薪酬调查更具体一些，它</w:t>
      </w:r>
      <w:r>
        <w:rPr>
          <w:rFonts w:hint="eastAsia" w:ascii="仿宋" w:hAnsi="仿宋" w:eastAsia="仿宋" w:cs="仿宋"/>
          <w:sz w:val="30"/>
          <w:szCs w:val="30"/>
          <w:em w:val="dot"/>
        </w:rPr>
        <w:t>以职业为标的</w:t>
      </w:r>
      <w:r>
        <w:rPr>
          <w:rFonts w:hint="eastAsia" w:ascii="仿宋" w:hAnsi="仿宋" w:eastAsia="仿宋" w:cs="仿宋"/>
          <w:sz w:val="30"/>
          <w:szCs w:val="30"/>
        </w:rPr>
        <w:t>反映不同职业的工资报酬水平，同时进行的企业人工成本调查，反映不同行业企业的人工成本水平状况。要从重要性讲，劳动工资统计与企业薪酬调查同样重要，两者从不同的侧面来反映我国企业工资收入分配的状况。</w:t>
      </w:r>
      <w:bookmarkStart w:id="51" w:name="_Toc11701"/>
      <w:bookmarkStart w:id="52" w:name="_Toc7618"/>
      <w:bookmarkStart w:id="53" w:name="_Toc386551020"/>
      <w:bookmarkStart w:id="54" w:name="_Toc516776665"/>
      <w:bookmarkStart w:id="55" w:name="_Toc386552332"/>
      <w:bookmarkStart w:id="56" w:name="_Toc31860"/>
      <w:bookmarkStart w:id="57" w:name="_Toc30009"/>
      <w:bookmarkStart w:id="58" w:name="_Toc386209306"/>
      <w:bookmarkStart w:id="59" w:name="_Toc29165156"/>
      <w:bookmarkStart w:id="60" w:name="_Toc477337976"/>
      <w:bookmarkStart w:id="61" w:name="_Toc29305"/>
      <w:bookmarkStart w:id="62" w:name="_Toc386552424"/>
      <w:bookmarkStart w:id="63" w:name="_Toc15343"/>
      <w:bookmarkStart w:id="64" w:name="_Toc21752"/>
    </w:p>
    <w:p>
      <w:pPr>
        <w:pStyle w:val="22"/>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三、开展企业薪酬调查的意义</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adjustRightInd w:val="0"/>
        <w:snapToGrid w:val="0"/>
        <w:spacing w:line="600" w:lineRule="exact"/>
        <w:ind w:firstLine="600" w:firstLineChars="200"/>
        <w:rPr>
          <w:rFonts w:ascii="楷体" w:hAnsi="楷体" w:eastAsia="楷体" w:cs="仿宋"/>
          <w:sz w:val="30"/>
          <w:szCs w:val="30"/>
        </w:rPr>
      </w:pPr>
      <w:r>
        <w:rPr>
          <w:rFonts w:hint="eastAsia" w:ascii="楷体" w:hAnsi="楷体" w:eastAsia="楷体" w:cs="仿宋"/>
          <w:sz w:val="30"/>
          <w:szCs w:val="30"/>
        </w:rPr>
        <w:t>（一）是市场经济国家的通行做法</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从发达国家的实践看，政府开展企业薪酬调查并发布调查信息，引导劳资双方合理确定工资，是比较通行的做法。美国早在20世纪50年代就开始了职业工资调查。1959年，美国首次开展了专业人员、管理人员、技术人员和文秘人员的薪酬水平调查（简称“PATC”调查）；1976年，美国劳工部第一次发布了雇佣成本指数，1986年开始发布年度雇主雇佣成本水平；20世纪90年代末，美国将上述调查项目进行整合，定期发布包括全国及分地区的各类职业工资情况在内的四大类统计数据。日本早在1948年就开始进行劳动者工资结构调查，对主要行业劳动者按就业形式、工作类型、职业工种、性别、年龄、学历、工作时间和任职年限等情况进行调查，起初每三年进行一次，1982年后改为每年进行一次。1960年开始实施工资增长调查，主要是掌握私营企业工资增长的各方面情况，包括工资增长的数量、增长率、增长方式、增长条件、工资增长对企业管理的影响等，从而为政府决策提供了精准的数据。</w:t>
      </w:r>
    </w:p>
    <w:p>
      <w:pPr>
        <w:adjustRightInd w:val="0"/>
        <w:snapToGrid w:val="0"/>
        <w:spacing w:line="600" w:lineRule="exact"/>
        <w:ind w:firstLine="600" w:firstLineChars="200"/>
        <w:rPr>
          <w:rFonts w:ascii="楷体" w:hAnsi="楷体" w:eastAsia="楷体" w:cs="仿宋"/>
          <w:sz w:val="30"/>
          <w:szCs w:val="30"/>
        </w:rPr>
      </w:pPr>
      <w:r>
        <w:rPr>
          <w:rFonts w:hint="eastAsia" w:ascii="楷体" w:hAnsi="楷体" w:eastAsia="楷体" w:cs="仿宋"/>
          <w:sz w:val="30"/>
          <w:szCs w:val="30"/>
        </w:rPr>
        <w:t>（二）是引导企业自主分配和支持宏观决策的客观需要</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经过四十年的改革发展，我国已成为世界第二大经济体，市场经济体制基本建立，企业在遵守国家法律法规的前提下，自主经营，自主分配，参考劳动力市场价位，与劳动者协商确定工资。政府主要通过法律、经济、发布劳动力市场工资价位信息等间接手段调控和引导市场主体行为。</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从宏观决策角度看，也要求提供更加精细的、科学可靠的收入分配数据，以便客观分析判断我国的经济发展水平，科学决策。《中共中央 国务院关于新时代加快完善社会主义市场经济体制的意见》（中发〔2020〕10号）、《中共中央、国务院关于构建和谐劳动关系的意见》（中发〔2015〕10号）、《国务院批转发展改革委等部门关于深化收入分配制度改革若干意见的通知》（国发〔2013〕6号）和《人力资源和社会保障部事业发展“十三五”规划纲要》提出了加快建立、健全统一规范的企业薪酬调查和信息发布制度的要求。《人力资源和社会保障部事业发展“十四五”规划纲要》进一步提出加强企业薪酬调查和信息发布工作。</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企业薪酬调查工作在以下方面发挥重大作用：</w:t>
      </w:r>
    </w:p>
    <w:p>
      <w:pPr>
        <w:pStyle w:val="22"/>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1</w:t>
      </w:r>
      <w:r>
        <w:rPr>
          <w:rFonts w:ascii="仿宋" w:hAnsi="仿宋" w:eastAsia="仿宋" w:cs="仿宋"/>
          <w:b/>
          <w:bCs/>
          <w:sz w:val="30"/>
          <w:szCs w:val="30"/>
        </w:rPr>
        <w:t>.</w:t>
      </w:r>
      <w:r>
        <w:rPr>
          <w:rFonts w:hint="eastAsia" w:ascii="仿宋" w:hAnsi="仿宋" w:eastAsia="仿宋" w:cs="仿宋"/>
          <w:b/>
          <w:bCs/>
          <w:sz w:val="30"/>
          <w:szCs w:val="30"/>
        </w:rPr>
        <w:t>支撑政府决策。</w:t>
      </w:r>
      <w:r>
        <w:rPr>
          <w:rFonts w:hint="eastAsia" w:ascii="仿宋" w:hAnsi="仿宋" w:eastAsia="仿宋" w:cs="仿宋"/>
          <w:sz w:val="30"/>
          <w:szCs w:val="30"/>
        </w:rPr>
        <w:t>企业收入分配是我国收入分配全局的重要组成部分。深入了解企业收入分配状况，弄清楚企业中的管理层、专业技术岗位、技能操作岗位和辅助服务人员的工资报酬，是深化企业收入分配制度改革的前提和基础。通过建立这项调查制度，准确地把握我国企业收入分配的现状，准确地把握不同职业群体的收入分配水平，准确地把握不同行业收入分配的差距，就能为政府调节收入分配，研究制定有关政策措施提供科学的决策依据。</w:t>
      </w:r>
    </w:p>
    <w:p>
      <w:pPr>
        <w:pStyle w:val="22"/>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2</w:t>
      </w:r>
      <w:r>
        <w:rPr>
          <w:rFonts w:ascii="仿宋" w:hAnsi="仿宋" w:eastAsia="仿宋" w:cs="仿宋"/>
          <w:b/>
          <w:bCs/>
          <w:sz w:val="30"/>
          <w:szCs w:val="30"/>
        </w:rPr>
        <w:t>.</w:t>
      </w:r>
      <w:r>
        <w:rPr>
          <w:rFonts w:hint="eastAsia" w:ascii="仿宋" w:hAnsi="仿宋" w:eastAsia="仿宋" w:cs="仿宋"/>
          <w:b/>
          <w:bCs/>
          <w:sz w:val="30"/>
          <w:szCs w:val="30"/>
        </w:rPr>
        <w:t>引导要素流动配置。</w:t>
      </w:r>
      <w:r>
        <w:rPr>
          <w:rFonts w:hint="eastAsia" w:ascii="仿宋" w:hAnsi="仿宋" w:eastAsia="仿宋" w:cs="仿宋"/>
          <w:sz w:val="30"/>
          <w:szCs w:val="30"/>
        </w:rPr>
        <w:t>我国地域大，地区之间经济发展水平不平衡。不同地区的人力资源市场因为经济发展水平不同、优势产业不同等因素，从而形成不同的工资报酬水平和人工成本水平。当前我国正处在城市化加快发展的阶段，劳动力从中西部大规模地流向东部，从农村大规模地流向城市。通过建立这项调查制度，并在条件成熟时发布企业就业人员不同职业工资报酬，不同行业企业人工成本，就可以进一步畅通不同地区间人力资源市场工资报酬信息，引导劳动力在地区之间、城乡之间有序流动。</w:t>
      </w:r>
    </w:p>
    <w:p>
      <w:pPr>
        <w:pStyle w:val="22"/>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3</w:t>
      </w:r>
      <w:r>
        <w:rPr>
          <w:rFonts w:ascii="仿宋" w:hAnsi="仿宋" w:eastAsia="仿宋" w:cs="仿宋"/>
          <w:b/>
          <w:bCs/>
          <w:sz w:val="30"/>
          <w:szCs w:val="30"/>
        </w:rPr>
        <w:t>.</w:t>
      </w:r>
      <w:r>
        <w:rPr>
          <w:rFonts w:hint="eastAsia" w:ascii="仿宋" w:hAnsi="仿宋" w:eastAsia="仿宋" w:cs="仿宋"/>
          <w:b/>
          <w:bCs/>
          <w:sz w:val="30"/>
          <w:szCs w:val="30"/>
        </w:rPr>
        <w:t>搞好公共信息服务。</w:t>
      </w:r>
      <w:r>
        <w:rPr>
          <w:rFonts w:hint="eastAsia" w:ascii="仿宋" w:hAnsi="仿宋" w:eastAsia="仿宋" w:cs="仿宋"/>
          <w:sz w:val="30"/>
          <w:szCs w:val="30"/>
        </w:rPr>
        <w:t>为劳动者提供包括工资报酬在内的准确可靠的工资信息，为企业提供真实可靠的人工成本信息，是市场经济条件下政府实施社会管理的重要职能，也是提供公共服务的重要方面。通过调查并及时发布不同职业的工资报酬，就能为劳动者在选择职业，进行职业发展规划时提供相关的公共服务。通过公布不同岗位的工资报酬，在企业招用员工，劳动者就业签订劳动合同时，为双方协商确定工资提供参考依据。通过公布不同行业企业的人工成本水平，为企业在不同地区、不同行业投资提供人工成本方面的参考依据。</w:t>
      </w:r>
    </w:p>
    <w:p>
      <w:pPr>
        <w:pStyle w:val="22"/>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4</w:t>
      </w:r>
      <w:r>
        <w:rPr>
          <w:rFonts w:ascii="仿宋" w:hAnsi="仿宋" w:eastAsia="仿宋" w:cs="仿宋"/>
          <w:b/>
          <w:bCs/>
          <w:sz w:val="30"/>
          <w:szCs w:val="30"/>
        </w:rPr>
        <w:t>.</w:t>
      </w:r>
      <w:r>
        <w:rPr>
          <w:rFonts w:hint="eastAsia" w:ascii="仿宋" w:hAnsi="仿宋" w:eastAsia="仿宋" w:cs="仿宋"/>
          <w:b/>
          <w:bCs/>
          <w:sz w:val="30"/>
          <w:szCs w:val="30"/>
        </w:rPr>
        <w:t>提供调资依据。</w:t>
      </w:r>
      <w:r>
        <w:rPr>
          <w:rFonts w:hint="eastAsia" w:ascii="仿宋" w:hAnsi="仿宋" w:eastAsia="仿宋" w:cs="仿宋"/>
          <w:sz w:val="30"/>
          <w:szCs w:val="30"/>
        </w:rPr>
        <w:t>我国</w:t>
      </w:r>
      <w:r>
        <w:rPr>
          <w:rFonts w:hint="eastAsia" w:ascii="仿宋" w:hAnsi="仿宋" w:eastAsia="仿宋" w:cs="仿宋"/>
          <w:sz w:val="30"/>
          <w:szCs w:val="30"/>
          <w:lang w:eastAsia="zh-CN"/>
        </w:rPr>
        <w:t>《中华人民共和国公务员法》</w:t>
      </w:r>
      <w:r>
        <w:rPr>
          <w:rFonts w:hint="eastAsia" w:ascii="仿宋" w:hAnsi="仿宋" w:eastAsia="仿宋" w:cs="仿宋"/>
          <w:sz w:val="30"/>
          <w:szCs w:val="30"/>
        </w:rPr>
        <w:t>规定，“国家实行调查制度，定期进行公务员和企业相当人员工资水平的调查比较，并将工资调查比较结果作为调整公务员工资水平的依据”。建立公务员工资正常调整机制的重点难点之一是企业相当人员工资水平没有确切的调查数据，随着改革的深入，解决这一问题显得越来越紧迫。因此不论是从贯彻公务员法的有关规定看，还是从妥善处理公务员与企业相当人员工资关系看，都亟需建立企业薪酬调查制度。</w:t>
      </w:r>
    </w:p>
    <w:p>
      <w:pPr>
        <w:adjustRightInd w:val="0"/>
        <w:snapToGrid w:val="0"/>
        <w:spacing w:line="600" w:lineRule="exact"/>
        <w:ind w:firstLine="708" w:firstLineChars="236"/>
        <w:outlineLvl w:val="1"/>
        <w:rPr>
          <w:rFonts w:ascii="黑体" w:hAnsi="黑体" w:cs="黑体"/>
          <w:sz w:val="30"/>
          <w:szCs w:val="30"/>
        </w:rPr>
      </w:pPr>
      <w:bookmarkStart w:id="65" w:name="_Toc2195"/>
      <w:bookmarkStart w:id="66" w:name="_Toc3686"/>
      <w:bookmarkStart w:id="67" w:name="_Toc92485896"/>
      <w:bookmarkStart w:id="68" w:name="_Toc17247"/>
      <w:bookmarkStart w:id="69" w:name="_Toc18115"/>
      <w:bookmarkStart w:id="70" w:name="_Toc18484"/>
      <w:bookmarkStart w:id="71" w:name="_Toc516776666"/>
      <w:bookmarkStart w:id="72" w:name="_Toc18608"/>
      <w:bookmarkStart w:id="73" w:name="_Toc258"/>
      <w:bookmarkStart w:id="74" w:name="_Toc386552333"/>
      <w:bookmarkStart w:id="75" w:name="_Toc386209307"/>
      <w:bookmarkStart w:id="76" w:name="_Toc386552425"/>
      <w:bookmarkStart w:id="77" w:name="_Toc477337977"/>
      <w:bookmarkStart w:id="78" w:name="_Toc386551021"/>
      <w:bookmarkStart w:id="79" w:name="_Toc29165157"/>
      <w:r>
        <w:rPr>
          <w:rFonts w:hint="eastAsia" w:ascii="黑体" w:hAnsi="黑体" w:eastAsia="黑体" w:cs="黑体"/>
          <w:sz w:val="30"/>
          <w:szCs w:val="30"/>
        </w:rPr>
        <w:t>四、统计报表制度的合法性</w:t>
      </w:r>
      <w:bookmarkEnd w:id="65"/>
      <w:bookmarkEnd w:id="66"/>
      <w:bookmarkEnd w:id="67"/>
      <w:bookmarkEnd w:id="68"/>
      <w:bookmarkEnd w:id="69"/>
      <w:bookmarkEnd w:id="70"/>
      <w:bookmarkEnd w:id="71"/>
      <w:bookmarkEnd w:id="72"/>
      <w:bookmarkEnd w:id="73"/>
    </w:p>
    <w:p>
      <w:pPr>
        <w:adjustRightInd w:val="0"/>
        <w:snapToGrid w:val="0"/>
        <w:spacing w:line="600" w:lineRule="exact"/>
        <w:rPr>
          <w:rFonts w:ascii="仿宋" w:hAnsi="仿宋" w:eastAsia="仿宋" w:cs="仿宋"/>
          <w:sz w:val="30"/>
          <w:szCs w:val="30"/>
        </w:rPr>
      </w:pPr>
      <w:r>
        <w:rPr>
          <w:rFonts w:hint="eastAsia" w:ascii="宋体" w:hAnsi="宋体"/>
          <w:sz w:val="30"/>
          <w:szCs w:val="30"/>
        </w:rPr>
        <w:t xml:space="preserve">    </w:t>
      </w:r>
      <w:r>
        <w:rPr>
          <w:rFonts w:hint="eastAsia" w:ascii="仿宋" w:hAnsi="仿宋" w:eastAsia="仿宋" w:cs="仿宋"/>
          <w:sz w:val="30"/>
          <w:szCs w:val="30"/>
        </w:rPr>
        <w:t>本报表制度根据《中华人民共和国统计法》的有关规定制定。</w:t>
      </w:r>
    </w:p>
    <w:p>
      <w:pPr>
        <w:pStyle w:val="2"/>
        <w:adjustRightInd w:val="0"/>
        <w:snapToGrid w:val="0"/>
        <w:spacing w:before="0" w:after="0" w:line="312" w:lineRule="auto"/>
        <w:ind w:left="425" w:hanging="425"/>
        <w:jc w:val="center"/>
        <w:rPr>
          <w:rFonts w:ascii="宋体" w:hAnsi="宋体"/>
          <w:color w:val="000000"/>
          <w:sz w:val="30"/>
          <w:szCs w:val="30"/>
        </w:rPr>
      </w:pPr>
      <w:r>
        <w:rPr>
          <w:rFonts w:ascii="宋体" w:hAnsi="宋体"/>
          <w:color w:val="000000"/>
          <w:sz w:val="30"/>
          <w:szCs w:val="30"/>
        </w:rPr>
        <w:br w:type="page"/>
      </w:r>
      <w:bookmarkEnd w:id="74"/>
      <w:bookmarkEnd w:id="75"/>
      <w:bookmarkEnd w:id="76"/>
      <w:bookmarkEnd w:id="77"/>
      <w:bookmarkEnd w:id="78"/>
      <w:bookmarkEnd w:id="79"/>
      <w:bookmarkStart w:id="80" w:name="_Toc32407"/>
      <w:bookmarkStart w:id="81" w:name="_Toc386552334"/>
      <w:bookmarkStart w:id="82" w:name="_Toc24352"/>
      <w:bookmarkStart w:id="83" w:name="_Toc386209308"/>
      <w:bookmarkStart w:id="84" w:name="_Toc516776667"/>
      <w:bookmarkStart w:id="85" w:name="_Toc9204"/>
      <w:bookmarkStart w:id="86" w:name="_Toc30891"/>
      <w:bookmarkStart w:id="87" w:name="_Toc4251"/>
      <w:bookmarkStart w:id="88" w:name="_Toc477337978"/>
      <w:bookmarkStart w:id="89" w:name="_Toc12762"/>
      <w:bookmarkStart w:id="90" w:name="_Toc11651"/>
      <w:bookmarkStart w:id="91" w:name="_Toc386551022"/>
      <w:bookmarkStart w:id="92" w:name="_Toc386552426"/>
    </w:p>
    <w:p>
      <w:pPr>
        <w:pStyle w:val="2"/>
        <w:adjustRightInd w:val="0"/>
        <w:snapToGrid w:val="0"/>
        <w:spacing w:before="0" w:after="0" w:line="312" w:lineRule="auto"/>
        <w:ind w:left="425" w:hanging="425"/>
        <w:jc w:val="center"/>
        <w:rPr>
          <w:rFonts w:ascii="宋体" w:hAnsi="宋体"/>
          <w:color w:val="000000"/>
          <w:sz w:val="30"/>
          <w:szCs w:val="30"/>
        </w:rPr>
      </w:pPr>
    </w:p>
    <w:p>
      <w:pPr>
        <w:pStyle w:val="2"/>
        <w:adjustRightInd w:val="0"/>
        <w:snapToGrid w:val="0"/>
        <w:spacing w:before="0" w:after="0" w:line="312" w:lineRule="auto"/>
        <w:ind w:left="425" w:hanging="425"/>
        <w:jc w:val="center"/>
        <w:rPr>
          <w:rFonts w:ascii="宋体" w:hAnsi="宋体"/>
          <w:color w:val="000000"/>
          <w:sz w:val="30"/>
          <w:szCs w:val="30"/>
        </w:rPr>
      </w:pPr>
    </w:p>
    <w:p>
      <w:pPr>
        <w:pStyle w:val="2"/>
        <w:adjustRightInd w:val="0"/>
        <w:snapToGrid w:val="0"/>
        <w:spacing w:before="0" w:after="0" w:line="312" w:lineRule="auto"/>
        <w:ind w:left="425" w:hanging="425"/>
        <w:jc w:val="center"/>
        <w:rPr>
          <w:rFonts w:ascii="黑体" w:hAnsi="黑体" w:eastAsia="黑体"/>
          <w:b w:val="0"/>
          <w:sz w:val="36"/>
          <w:szCs w:val="36"/>
        </w:rPr>
      </w:pPr>
      <w:bookmarkStart w:id="93" w:name="_Toc93509809"/>
      <w:r>
        <w:rPr>
          <w:rFonts w:ascii="黑体" w:hAnsi="黑体" w:eastAsia="黑体"/>
          <w:sz w:val="36"/>
          <w:szCs w:val="36"/>
        </w:rPr>
        <w:t>第二部分</w:t>
      </w:r>
      <w:bookmarkEnd w:id="80"/>
      <w:bookmarkEnd w:id="81"/>
      <w:bookmarkEnd w:id="82"/>
      <w:bookmarkEnd w:id="83"/>
      <w:bookmarkEnd w:id="84"/>
      <w:bookmarkEnd w:id="85"/>
      <w:bookmarkEnd w:id="86"/>
      <w:bookmarkEnd w:id="87"/>
      <w:bookmarkEnd w:id="88"/>
      <w:bookmarkEnd w:id="89"/>
      <w:bookmarkEnd w:id="90"/>
      <w:bookmarkEnd w:id="91"/>
      <w:bookmarkEnd w:id="92"/>
      <w:bookmarkStart w:id="94" w:name="_Toc17660"/>
      <w:bookmarkStart w:id="95" w:name="_Toc18194"/>
      <w:bookmarkStart w:id="96" w:name="_Toc333390185"/>
      <w:bookmarkStart w:id="97" w:name="_Toc386552335"/>
      <w:bookmarkStart w:id="98" w:name="_Toc386551023"/>
      <w:bookmarkStart w:id="99" w:name="_Toc333414109"/>
      <w:bookmarkStart w:id="100" w:name="_Toc23325"/>
      <w:bookmarkStart w:id="101" w:name="_Toc386209309"/>
      <w:bookmarkStart w:id="102" w:name="_Toc14304"/>
      <w:bookmarkStart w:id="103" w:name="_Toc8092"/>
      <w:bookmarkStart w:id="104" w:name="_Toc333413789"/>
      <w:bookmarkStart w:id="105" w:name="_Toc3570"/>
      <w:bookmarkStart w:id="106" w:name="_Toc386552427"/>
      <w:bookmarkStart w:id="107" w:name="_Toc477337979"/>
      <w:r>
        <w:rPr>
          <w:rFonts w:hint="eastAsia" w:ascii="黑体" w:hAnsi="黑体" w:eastAsia="黑体"/>
          <w:sz w:val="36"/>
          <w:szCs w:val="36"/>
        </w:rPr>
        <w:t xml:space="preserve">   </w:t>
      </w:r>
      <w:bookmarkStart w:id="108" w:name="_Toc28249"/>
      <w:bookmarkStart w:id="109" w:name="_Toc516776668"/>
      <w:bookmarkStart w:id="110" w:name="_Toc5614"/>
      <w:bookmarkStart w:id="111" w:name="_Toc28029"/>
      <w:bookmarkStart w:id="112" w:name="_Toc29362"/>
      <w:bookmarkStart w:id="113" w:name="_Toc30560"/>
      <w:bookmarkStart w:id="114" w:name="_Toc10062"/>
      <w:r>
        <w:rPr>
          <w:rFonts w:ascii="黑体" w:hAnsi="黑体" w:eastAsia="黑体"/>
          <w:b w:val="0"/>
          <w:sz w:val="36"/>
          <w:szCs w:val="36"/>
        </w:rPr>
        <w:t>企业薪酬调查主要指标解释</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
      <w:pPr>
        <w:pStyle w:val="28"/>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本调查制度包括《企业基本情况》、《企业人工成本情况》、《企业从业人员工资报酬情况》和《新就业形态劳动者劳动报酬情况》4张调查表。</w:t>
      </w:r>
    </w:p>
    <w:p>
      <w:pPr>
        <w:pStyle w:val="28"/>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企业薪酬调查样本企业，按照本企业202</w:t>
      </w:r>
      <w:r>
        <w:rPr>
          <w:rFonts w:ascii="仿宋" w:hAnsi="仿宋" w:eastAsia="仿宋" w:cs="仿宋"/>
          <w:sz w:val="30"/>
          <w:szCs w:val="30"/>
        </w:rPr>
        <w:t>1</w:t>
      </w:r>
      <w:r>
        <w:rPr>
          <w:rFonts w:hint="eastAsia" w:ascii="仿宋" w:hAnsi="仿宋" w:eastAsia="仿宋" w:cs="仿宋"/>
          <w:sz w:val="30"/>
          <w:szCs w:val="30"/>
        </w:rPr>
        <w:t>年实际情况填报《企业基本情况》、《企业人工成本情况》和《企业从业人员工资报酬情况》3张调查表。</w:t>
      </w:r>
    </w:p>
    <w:p>
      <w:pPr>
        <w:pStyle w:val="28"/>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制造业人工成本监测试点样本企业，按照本企业202</w:t>
      </w:r>
      <w:r>
        <w:rPr>
          <w:rFonts w:ascii="仿宋" w:hAnsi="仿宋" w:eastAsia="仿宋" w:cs="仿宋"/>
          <w:sz w:val="30"/>
          <w:szCs w:val="30"/>
        </w:rPr>
        <w:t>2</w:t>
      </w:r>
      <w:r>
        <w:rPr>
          <w:rFonts w:hint="eastAsia" w:ascii="仿宋" w:hAnsi="仿宋" w:eastAsia="仿宋" w:cs="仿宋"/>
          <w:sz w:val="30"/>
          <w:szCs w:val="30"/>
        </w:rPr>
        <w:t>年1-4季度数据情况填报《企业基本情况》、《企业人工成本情况》，2-4季度数据为本季度发生数，非前几季度累计数。</w:t>
      </w:r>
    </w:p>
    <w:p>
      <w:pPr>
        <w:pStyle w:val="28"/>
        <w:adjustRightInd w:val="0"/>
        <w:snapToGrid w:val="0"/>
        <w:spacing w:after="0" w:line="600" w:lineRule="exact"/>
        <w:ind w:firstLine="600"/>
        <w:rPr>
          <w:rFonts w:ascii="仿宋" w:hAnsi="仿宋" w:eastAsia="仿宋" w:cs="仿宋"/>
          <w:b/>
          <w:bCs/>
          <w:color w:val="C00000"/>
          <w:sz w:val="30"/>
          <w:szCs w:val="30"/>
          <w:highlight w:val="none"/>
        </w:rPr>
      </w:pPr>
      <w:r>
        <w:rPr>
          <w:rFonts w:hint="eastAsia" w:ascii="仿宋" w:hAnsi="仿宋" w:eastAsia="仿宋" w:cs="仿宋"/>
          <w:sz w:val="30"/>
          <w:szCs w:val="30"/>
        </w:rPr>
        <w:t>平台企业按照本企业2021年组织、调配劳动者接单的实际情况，填报《新就业形态劳动者劳动报酬情况》表。</w:t>
      </w:r>
      <w:r>
        <w:rPr>
          <w:rFonts w:hint="eastAsia" w:ascii="仿宋" w:hAnsi="仿宋" w:eastAsia="仿宋" w:cs="仿宋"/>
          <w:b/>
          <w:bCs/>
          <w:color w:val="C00000"/>
          <w:sz w:val="30"/>
          <w:szCs w:val="30"/>
          <w:highlight w:val="none"/>
        </w:rPr>
        <w:t>不通过现有系统填报，可与地方人社部门协商通过适当方式交接数据。</w:t>
      </w:r>
    </w:p>
    <w:p>
      <w:pPr>
        <w:pStyle w:val="4"/>
        <w:adjustRightInd w:val="0"/>
        <w:snapToGrid w:val="0"/>
        <w:spacing w:before="0" w:after="0" w:line="360" w:lineRule="auto"/>
        <w:ind w:left="600"/>
      </w:pPr>
      <w:r>
        <w:rPr>
          <w:rFonts w:ascii="仿宋" w:hAnsi="仿宋" w:eastAsia="仿宋" w:cs="仿宋"/>
        </w:rPr>
        <w:br w:type="page"/>
      </w:r>
      <w:bookmarkStart w:id="115" w:name="_Toc386209310"/>
      <w:bookmarkStart w:id="116" w:name="_Toc13990"/>
      <w:bookmarkStart w:id="117" w:name="_Toc516776669"/>
      <w:bookmarkStart w:id="118" w:name="_Toc305917131"/>
      <w:bookmarkStart w:id="119" w:name="_Toc386552336"/>
      <w:bookmarkStart w:id="120" w:name="_Toc29961"/>
      <w:bookmarkStart w:id="121" w:name="_Toc386552428"/>
      <w:bookmarkStart w:id="122" w:name="_Toc11515"/>
      <w:bookmarkStart w:id="123" w:name="_Toc25074"/>
      <w:bookmarkStart w:id="124" w:name="_Toc23501"/>
      <w:bookmarkStart w:id="125" w:name="_Toc386551024"/>
      <w:bookmarkStart w:id="126" w:name="_Toc93509810"/>
      <w:bookmarkStart w:id="127" w:name="_Toc92485898"/>
      <w:bookmarkStart w:id="128" w:name="_Toc333414110"/>
      <w:bookmarkStart w:id="129" w:name="_Toc17490"/>
      <w:bookmarkStart w:id="130" w:name="_Toc15609"/>
      <w:bookmarkStart w:id="131" w:name="_Toc477337980"/>
      <w:r>
        <w:rPr>
          <w:rFonts w:hint="eastAsia" w:ascii="仿宋" w:hAnsi="仿宋" w:eastAsia="仿宋" w:cs="仿宋"/>
        </w:rPr>
        <w:t>一、</w:t>
      </w:r>
      <w:r>
        <w:rPr>
          <w:rFonts w:hint="eastAsia"/>
        </w:rPr>
        <w:t>企业基本情况有关指标</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29"/>
        <w:adjustRightInd w:val="0"/>
        <w:snapToGrid w:val="0"/>
        <w:spacing w:after="240"/>
      </w:pPr>
      <w:r>
        <w:rPr>
          <w:rFonts w:hint="eastAsia"/>
          <w:sz w:val="32"/>
          <w:szCs w:val="32"/>
        </w:rPr>
        <w:t>企业基本情况</w:t>
      </w:r>
    </w:p>
    <w:p>
      <w:pPr>
        <w:adjustRightInd w:val="0"/>
        <w:snapToGrid w:val="0"/>
        <w:spacing w:line="240" w:lineRule="exact"/>
        <w:ind w:left="5527" w:leftChars="2632"/>
        <w:rPr>
          <w:sz w:val="18"/>
          <w:szCs w:val="18"/>
        </w:rPr>
      </w:pPr>
    </w:p>
    <w:p>
      <w:pPr>
        <w:adjustRightInd w:val="0"/>
        <w:snapToGrid w:val="0"/>
        <w:spacing w:line="240" w:lineRule="exact"/>
        <w:ind w:left="5527" w:leftChars="2632"/>
        <w:rPr>
          <w:sz w:val="18"/>
          <w:szCs w:val="18"/>
        </w:rPr>
      </w:pPr>
      <w:r>
        <w:rPr>
          <w:rFonts w:hint="eastAsia"/>
          <w:sz w:val="18"/>
          <w:szCs w:val="18"/>
        </w:rPr>
        <w:t>表</w:t>
      </w:r>
      <w:r>
        <w:rPr>
          <w:sz w:val="18"/>
          <w:szCs w:val="18"/>
        </w:rPr>
        <w:t xml:space="preserve">    </w:t>
      </w:r>
      <w:r>
        <w:rPr>
          <w:rFonts w:hint="eastAsia"/>
          <w:sz w:val="18"/>
          <w:szCs w:val="18"/>
        </w:rPr>
        <w:t>号：人社统</w:t>
      </w:r>
      <w:r>
        <w:rPr>
          <w:sz w:val="18"/>
          <w:szCs w:val="18"/>
        </w:rPr>
        <w:t>IR4</w:t>
      </w:r>
      <w:r>
        <w:rPr>
          <w:rFonts w:hint="eastAsia"/>
          <w:sz w:val="18"/>
          <w:szCs w:val="18"/>
        </w:rPr>
        <w:t>号</w:t>
      </w:r>
    </w:p>
    <w:p>
      <w:pPr>
        <w:adjustRightInd w:val="0"/>
        <w:snapToGrid w:val="0"/>
        <w:spacing w:line="240" w:lineRule="exact"/>
        <w:ind w:left="5527" w:leftChars="2632"/>
        <w:rPr>
          <w:sz w:val="18"/>
          <w:szCs w:val="18"/>
        </w:rPr>
      </w:pPr>
      <w:r>
        <w:rPr>
          <w:rFonts w:hint="eastAsia"/>
          <w:sz w:val="18"/>
          <w:szCs w:val="18"/>
        </w:rPr>
        <w:t>制定机关：人力资源和社会保障部</w:t>
      </w:r>
    </w:p>
    <w:p>
      <w:pPr>
        <w:tabs>
          <w:tab w:val="left" w:pos="5115"/>
        </w:tabs>
        <w:adjustRightInd w:val="0"/>
        <w:snapToGrid w:val="0"/>
        <w:spacing w:line="240" w:lineRule="exact"/>
        <w:ind w:left="5527" w:leftChars="2632"/>
        <w:rPr>
          <w:sz w:val="18"/>
          <w:szCs w:val="18"/>
        </w:rPr>
      </w:pPr>
      <w:r>
        <w:rPr>
          <w:rFonts w:hint="eastAsia"/>
          <w:sz w:val="18"/>
          <w:szCs w:val="18"/>
        </w:rPr>
        <w:t>批准机关：国家统计局</w:t>
      </w:r>
    </w:p>
    <w:p>
      <w:pPr>
        <w:tabs>
          <w:tab w:val="left" w:pos="5115"/>
        </w:tabs>
        <w:adjustRightInd w:val="0"/>
        <w:snapToGrid w:val="0"/>
        <w:spacing w:line="240" w:lineRule="exact"/>
        <w:ind w:left="5527" w:leftChars="2632"/>
        <w:rPr>
          <w:sz w:val="18"/>
          <w:szCs w:val="18"/>
        </w:rPr>
      </w:pPr>
      <w:r>
        <w:rPr>
          <w:rFonts w:hint="eastAsia"/>
          <w:sz w:val="18"/>
          <w:szCs w:val="18"/>
        </w:rPr>
        <w:t>批准文号：国统制</w:t>
      </w:r>
      <w:r>
        <w:rPr>
          <w:rFonts w:ascii="宋体" w:hAnsi="宋体" w:eastAsia="宋体" w:cs="宋体"/>
          <w:sz w:val="18"/>
          <w:szCs w:val="18"/>
        </w:rPr>
        <w:t>[</w:t>
      </w:r>
      <w:r>
        <w:rPr>
          <w:rFonts w:cs="宋体"/>
          <w:sz w:val="18"/>
          <w:szCs w:val="18"/>
        </w:rPr>
        <w:t>2022</w:t>
      </w:r>
      <w:r>
        <w:rPr>
          <w:rFonts w:ascii="宋体" w:hAnsi="宋体" w:eastAsia="宋体" w:cs="宋体"/>
          <w:sz w:val="18"/>
          <w:szCs w:val="18"/>
        </w:rPr>
        <w:t>]</w:t>
      </w:r>
      <w:r>
        <w:rPr>
          <w:rFonts w:cs="宋体"/>
          <w:sz w:val="18"/>
          <w:szCs w:val="18"/>
        </w:rPr>
        <w:t xml:space="preserve"> 15</w:t>
      </w:r>
      <w:r>
        <w:rPr>
          <w:rFonts w:hint="eastAsia"/>
          <w:sz w:val="18"/>
          <w:szCs w:val="18"/>
        </w:rPr>
        <w:t>号</w:t>
      </w:r>
    </w:p>
    <w:p>
      <w:pPr>
        <w:tabs>
          <w:tab w:val="left" w:pos="5115"/>
        </w:tabs>
        <w:adjustRightInd w:val="0"/>
        <w:snapToGrid w:val="0"/>
        <w:spacing w:line="240" w:lineRule="exact"/>
        <w:ind w:left="5527" w:leftChars="2632"/>
        <w:rPr>
          <w:sz w:val="18"/>
          <w:szCs w:val="18"/>
        </w:rPr>
      </w:pPr>
      <w:r>
        <w:rPr>
          <w:rFonts w:hint="eastAsia"/>
          <w:sz w:val="18"/>
          <w:szCs w:val="18"/>
        </w:rPr>
        <w:t>有效期至：</w:t>
      </w:r>
      <w:r>
        <w:rPr>
          <w:sz w:val="18"/>
          <w:szCs w:val="18"/>
        </w:rPr>
        <w:t>20</w:t>
      </w:r>
      <w:r>
        <w:rPr>
          <w:rFonts w:hint="eastAsia"/>
          <w:sz w:val="18"/>
          <w:szCs w:val="18"/>
          <w:lang w:val="en-US" w:eastAsia="zh-CN"/>
        </w:rPr>
        <w:t>25</w:t>
      </w:r>
      <w:r>
        <w:rPr>
          <w:rFonts w:hint="eastAsia"/>
          <w:sz w:val="18"/>
          <w:szCs w:val="18"/>
        </w:rPr>
        <w:t>年</w:t>
      </w:r>
      <w:r>
        <w:rPr>
          <w:rFonts w:hint="eastAsia"/>
          <w:sz w:val="18"/>
          <w:szCs w:val="18"/>
          <w:lang w:val="en-US" w:eastAsia="zh-CN"/>
        </w:rPr>
        <w:t>1</w:t>
      </w:r>
      <w:r>
        <w:rPr>
          <w:rFonts w:hint="eastAsia"/>
          <w:sz w:val="18"/>
          <w:szCs w:val="18"/>
        </w:rPr>
        <w:t>月</w:t>
      </w:r>
    </w:p>
    <w:p>
      <w:pPr>
        <w:tabs>
          <w:tab w:val="left" w:pos="5115"/>
        </w:tabs>
        <w:adjustRightInd w:val="0"/>
        <w:snapToGrid w:val="0"/>
        <w:spacing w:line="240" w:lineRule="exact"/>
        <w:ind w:left="5527" w:leftChars="2632"/>
        <w:rPr>
          <w:sz w:val="18"/>
          <w:szCs w:val="18"/>
        </w:rPr>
      </w:pPr>
    </w:p>
    <w:p>
      <w:pPr>
        <w:tabs>
          <w:tab w:val="left" w:pos="5115"/>
        </w:tabs>
        <w:spacing w:line="240" w:lineRule="exact"/>
        <w:jc w:val="center"/>
        <w:rPr>
          <w:rFonts w:cs="宋体"/>
          <w:sz w:val="22"/>
          <w:szCs w:val="22"/>
        </w:rPr>
      </w:pPr>
    </w:p>
    <w:p>
      <w:pPr>
        <w:tabs>
          <w:tab w:val="left" w:pos="5115"/>
        </w:tabs>
        <w:spacing w:line="240" w:lineRule="exact"/>
        <w:jc w:val="center"/>
        <w:rPr>
          <w:sz w:val="18"/>
          <w:szCs w:val="18"/>
        </w:rPr>
      </w:pPr>
      <w:r>
        <w:rPr>
          <w:rFonts w:cs="宋体"/>
          <w:sz w:val="22"/>
          <w:szCs w:val="22"/>
        </w:rPr>
        <w:t xml:space="preserve">20   </w:t>
      </w:r>
      <w:r>
        <w:rPr>
          <w:rFonts w:hint="eastAsia" w:cs="宋体"/>
          <w:sz w:val="22"/>
          <w:szCs w:val="22"/>
        </w:rPr>
        <w:t xml:space="preserve">年   </w:t>
      </w:r>
    </w:p>
    <w:tbl>
      <w:tblPr>
        <w:tblStyle w:val="17"/>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8522" w:type="dxa"/>
            <w:tcBorders>
              <w:top w:val="single" w:color="000000" w:sz="8" w:space="0"/>
              <w:bottom w:val="single" w:color="000000" w:sz="2" w:space="0"/>
            </w:tcBorders>
          </w:tcPr>
          <w:p>
            <w:pPr>
              <w:tabs>
                <w:tab w:val="left" w:pos="5115"/>
              </w:tabs>
              <w:spacing w:line="240" w:lineRule="exact"/>
              <w:rPr>
                <w:sz w:val="18"/>
                <w:szCs w:val="18"/>
              </w:rPr>
            </w:pPr>
            <w:r>
              <w:rPr>
                <w:rFonts w:hint="eastAsia"/>
                <w:sz w:val="18"/>
                <w:szCs w:val="18"/>
              </w:rPr>
              <w:t>01 统一社会信用代码□□□□□□□□□□□□□□□□□□</w:t>
            </w:r>
          </w:p>
          <w:p>
            <w:pPr>
              <w:tabs>
                <w:tab w:val="left" w:pos="5115"/>
              </w:tabs>
              <w:spacing w:line="240" w:lineRule="exact"/>
              <w:rPr>
                <w:sz w:val="18"/>
                <w:szCs w:val="18"/>
                <w:u w:val="single"/>
              </w:rPr>
            </w:pPr>
            <w:r>
              <w:rPr>
                <w:rFonts w:hint="eastAsia"/>
                <w:sz w:val="18"/>
                <w:szCs w:val="18"/>
              </w:rPr>
              <w:t>02 法人单位名称：</w:t>
            </w:r>
            <w:r>
              <w:rPr>
                <w:rFonts w:hint="eastAsia"/>
                <w:sz w:val="18"/>
                <w:szCs w:val="18"/>
                <w:u w:val="single"/>
              </w:rPr>
              <w:t xml:space="preserve">                                    </w:t>
            </w:r>
          </w:p>
          <w:p>
            <w:pPr>
              <w:tabs>
                <w:tab w:val="left" w:pos="5115"/>
              </w:tabs>
              <w:spacing w:line="240" w:lineRule="exact"/>
              <w:rPr>
                <w:sz w:val="18"/>
                <w:szCs w:val="18"/>
                <w:u w:val="single"/>
              </w:rPr>
            </w:pPr>
            <w:r>
              <w:rPr>
                <w:rFonts w:hint="eastAsia"/>
                <w:sz w:val="18"/>
                <w:szCs w:val="18"/>
              </w:rPr>
              <w:t>03法定代表人（单位负责人）：</w:t>
            </w:r>
            <w:r>
              <w:rPr>
                <w:rFonts w:hint="eastAsia"/>
                <w:sz w:val="18"/>
                <w:szCs w:val="18"/>
                <w:u w:val="single"/>
              </w:rPr>
              <w:t xml:space="preserve">                             </w:t>
            </w:r>
          </w:p>
          <w:p>
            <w:pPr>
              <w:tabs>
                <w:tab w:val="left" w:pos="5115"/>
              </w:tabs>
              <w:spacing w:line="240" w:lineRule="exact"/>
              <w:rPr>
                <w:sz w:val="18"/>
                <w:szCs w:val="18"/>
              </w:rPr>
            </w:pPr>
            <w:r>
              <w:rPr>
                <w:rFonts w:hint="eastAsia"/>
                <w:sz w:val="18"/>
                <w:szCs w:val="18"/>
              </w:rPr>
              <w:t>04联系方式（固定电话、移动电话）：</w:t>
            </w:r>
            <w:r>
              <w:rPr>
                <w:rFonts w:hint="eastAsia"/>
                <w:sz w:val="18"/>
                <w:szCs w:val="18"/>
                <w:u w:val="single"/>
              </w:rPr>
              <w:t xml:space="preserve">                                        </w:t>
            </w:r>
          </w:p>
          <w:p>
            <w:pPr>
              <w:tabs>
                <w:tab w:val="left" w:pos="5115"/>
              </w:tabs>
              <w:spacing w:line="240" w:lineRule="exact"/>
              <w:rPr>
                <w:sz w:val="18"/>
                <w:szCs w:val="18"/>
              </w:rPr>
            </w:pPr>
            <w:r>
              <w:rPr>
                <w:rFonts w:hint="eastAsia"/>
                <w:sz w:val="18"/>
                <w:szCs w:val="18"/>
              </w:rPr>
              <w:t>05 企业所在地行政区划代码□□□□□□</w:t>
            </w:r>
          </w:p>
          <w:p>
            <w:pPr>
              <w:tabs>
                <w:tab w:val="left" w:pos="5115"/>
              </w:tabs>
              <w:spacing w:line="240" w:lineRule="exact"/>
              <w:rPr>
                <w:sz w:val="18"/>
                <w:szCs w:val="18"/>
              </w:rPr>
            </w:pPr>
            <w:r>
              <w:rPr>
                <w:rFonts w:hint="eastAsia"/>
                <w:sz w:val="18"/>
                <w:szCs w:val="18"/>
              </w:rPr>
              <w:t>06 单位隶属关系（仅限国有单位填写）□□</w:t>
            </w:r>
          </w:p>
          <w:p>
            <w:pPr>
              <w:tabs>
                <w:tab w:val="left" w:pos="5115"/>
              </w:tabs>
              <w:spacing w:line="240" w:lineRule="exact"/>
              <w:rPr>
                <w:sz w:val="18"/>
                <w:szCs w:val="18"/>
              </w:rPr>
            </w:pPr>
            <w:r>
              <w:rPr>
                <w:rFonts w:hint="eastAsia"/>
                <w:sz w:val="18"/>
                <w:szCs w:val="18"/>
              </w:rPr>
              <w:t>07 行业类别代码□□□□□</w:t>
            </w:r>
          </w:p>
          <w:p>
            <w:pPr>
              <w:tabs>
                <w:tab w:val="left" w:pos="5115"/>
              </w:tabs>
              <w:spacing w:line="240" w:lineRule="exact"/>
              <w:rPr>
                <w:sz w:val="18"/>
                <w:szCs w:val="18"/>
              </w:rPr>
            </w:pPr>
            <w:r>
              <w:rPr>
                <w:rFonts w:hint="eastAsia"/>
                <w:sz w:val="18"/>
                <w:szCs w:val="18"/>
              </w:rPr>
              <w:t>08 企业规模□</w:t>
            </w:r>
          </w:p>
          <w:p>
            <w:pPr>
              <w:tabs>
                <w:tab w:val="left" w:pos="5115"/>
              </w:tabs>
              <w:spacing w:line="240" w:lineRule="exact"/>
              <w:rPr>
                <w:sz w:val="18"/>
                <w:szCs w:val="18"/>
              </w:rPr>
            </w:pPr>
            <w:r>
              <w:rPr>
                <w:rFonts w:hint="eastAsia"/>
                <w:sz w:val="18"/>
                <w:szCs w:val="18"/>
              </w:rPr>
              <w:t>09 登记注册类型□□□</w:t>
            </w:r>
          </w:p>
          <w:p>
            <w:pPr>
              <w:tabs>
                <w:tab w:val="left" w:pos="5115"/>
              </w:tabs>
              <w:spacing w:line="240" w:lineRule="exact"/>
              <w:rPr>
                <w:sz w:val="18"/>
                <w:szCs w:val="18"/>
              </w:rPr>
            </w:pPr>
            <w:r>
              <w:rPr>
                <w:rFonts w:hint="eastAsia"/>
                <w:sz w:val="18"/>
                <w:szCs w:val="18"/>
              </w:rPr>
              <w:t>10 企业从业人员平均人数</w:t>
            </w:r>
            <w:r>
              <w:rPr>
                <w:rFonts w:hint="eastAsia"/>
                <w:sz w:val="18"/>
                <w:szCs w:val="18"/>
                <w:u w:val="single"/>
              </w:rPr>
              <w:t xml:space="preserve">    </w:t>
            </w:r>
            <w:r>
              <w:rPr>
                <w:rFonts w:hint="eastAsia"/>
                <w:sz w:val="18"/>
                <w:szCs w:val="18"/>
              </w:rPr>
              <w:t>人 ，其中：（1）在岗职工</w:t>
            </w:r>
            <w:r>
              <w:rPr>
                <w:rFonts w:hint="eastAsia"/>
                <w:sz w:val="18"/>
                <w:szCs w:val="18"/>
                <w:u w:val="single"/>
              </w:rPr>
              <w:t xml:space="preserve">    </w:t>
            </w:r>
            <w:r>
              <w:rPr>
                <w:rFonts w:hint="eastAsia"/>
                <w:sz w:val="18"/>
                <w:szCs w:val="18"/>
              </w:rPr>
              <w:t>人，（2）劳务派遣人员</w:t>
            </w:r>
            <w:r>
              <w:rPr>
                <w:rFonts w:hint="eastAsia"/>
                <w:sz w:val="18"/>
                <w:szCs w:val="18"/>
                <w:u w:val="single"/>
              </w:rPr>
              <w:t xml:space="preserve">     </w:t>
            </w:r>
            <w:r>
              <w:rPr>
                <w:rFonts w:hint="eastAsia"/>
                <w:sz w:val="18"/>
                <w:szCs w:val="18"/>
              </w:rPr>
              <w:t>人</w:t>
            </w:r>
          </w:p>
          <w:p>
            <w:pPr>
              <w:tabs>
                <w:tab w:val="left" w:pos="5115"/>
              </w:tabs>
              <w:spacing w:line="240" w:lineRule="exact"/>
              <w:rPr>
                <w:sz w:val="18"/>
                <w:szCs w:val="18"/>
              </w:rPr>
            </w:pPr>
            <w:r>
              <w:rPr>
                <w:rFonts w:hint="eastAsia"/>
                <w:sz w:val="18"/>
                <w:szCs w:val="18"/>
              </w:rPr>
              <w:t>11工作小时总数</w:t>
            </w:r>
            <w:r>
              <w:rPr>
                <w:rFonts w:hint="eastAsia"/>
                <w:sz w:val="18"/>
                <w:szCs w:val="18"/>
                <w:u w:val="single"/>
              </w:rPr>
              <w:t xml:space="preserve">           </w:t>
            </w:r>
            <w:r>
              <w:rPr>
                <w:rFonts w:hint="eastAsia"/>
                <w:sz w:val="18"/>
                <w:szCs w:val="18"/>
              </w:rPr>
              <w:t>小时</w:t>
            </w:r>
          </w:p>
          <w:p>
            <w:pPr>
              <w:tabs>
                <w:tab w:val="left" w:pos="5115"/>
              </w:tabs>
              <w:spacing w:line="240" w:lineRule="exact"/>
              <w:rPr>
                <w:sz w:val="18"/>
                <w:szCs w:val="18"/>
              </w:rPr>
            </w:pPr>
          </w:p>
        </w:tc>
      </w:tr>
    </w:tbl>
    <w:p>
      <w:pPr>
        <w:tabs>
          <w:tab w:val="left" w:pos="5115"/>
        </w:tabs>
        <w:spacing w:line="200" w:lineRule="exact"/>
        <w:rPr>
          <w:sz w:val="18"/>
          <w:szCs w:val="18"/>
        </w:rPr>
      </w:pPr>
    </w:p>
    <w:p>
      <w:pPr>
        <w:tabs>
          <w:tab w:val="left" w:pos="5115"/>
        </w:tabs>
        <w:spacing w:line="200" w:lineRule="exact"/>
        <w:rPr>
          <w:sz w:val="18"/>
          <w:szCs w:val="18"/>
        </w:rPr>
      </w:pPr>
    </w:p>
    <w:p>
      <w:pPr>
        <w:tabs>
          <w:tab w:val="left" w:pos="5115"/>
        </w:tabs>
        <w:spacing w:line="200" w:lineRule="exact"/>
        <w:ind w:firstLine="360" w:firstLineChars="200"/>
        <w:rPr>
          <w:sz w:val="18"/>
          <w:szCs w:val="18"/>
        </w:rPr>
      </w:pPr>
      <w:r>
        <w:rPr>
          <w:rFonts w:hint="eastAsia"/>
          <w:sz w:val="18"/>
          <w:szCs w:val="18"/>
        </w:rPr>
        <w:t>说明：</w:t>
      </w:r>
      <w:r>
        <w:rPr>
          <w:sz w:val="18"/>
          <w:szCs w:val="18"/>
        </w:rPr>
        <w:t>1.</w:t>
      </w:r>
      <w:r>
        <w:rPr>
          <w:rFonts w:hint="eastAsia"/>
          <w:sz w:val="18"/>
          <w:szCs w:val="18"/>
        </w:rPr>
        <w:t>尚未“五证合一”使用统一社会信用代码的企业，第</w:t>
      </w:r>
      <w:r>
        <w:rPr>
          <w:sz w:val="18"/>
          <w:szCs w:val="18"/>
        </w:rPr>
        <w:t>01项可填组织机构代码；</w:t>
      </w:r>
    </w:p>
    <w:p>
      <w:pPr>
        <w:tabs>
          <w:tab w:val="left" w:pos="5115"/>
        </w:tabs>
        <w:spacing w:line="200" w:lineRule="exact"/>
        <w:ind w:firstLine="900" w:firstLineChars="500"/>
        <w:rPr>
          <w:sz w:val="18"/>
          <w:szCs w:val="18"/>
        </w:rPr>
      </w:pPr>
      <w:r>
        <w:rPr>
          <w:sz w:val="18"/>
          <w:szCs w:val="18"/>
        </w:rPr>
        <w:t>2.</w:t>
      </w:r>
      <w:r>
        <w:rPr>
          <w:rFonts w:hint="eastAsia"/>
          <w:sz w:val="18"/>
          <w:szCs w:val="18"/>
        </w:rPr>
        <w:t>第</w:t>
      </w:r>
      <w:r>
        <w:rPr>
          <w:sz w:val="18"/>
          <w:szCs w:val="18"/>
        </w:rPr>
        <w:t>06</w:t>
      </w:r>
      <w:r>
        <w:rPr>
          <w:rFonts w:hint="eastAsia"/>
          <w:sz w:val="18"/>
          <w:szCs w:val="18"/>
        </w:rPr>
        <w:t>、</w:t>
      </w:r>
      <w:r>
        <w:rPr>
          <w:sz w:val="18"/>
          <w:szCs w:val="18"/>
        </w:rPr>
        <w:t>08</w:t>
      </w:r>
      <w:r>
        <w:rPr>
          <w:rFonts w:hint="eastAsia"/>
          <w:sz w:val="18"/>
          <w:szCs w:val="18"/>
        </w:rPr>
        <w:t>、</w:t>
      </w:r>
      <w:r>
        <w:rPr>
          <w:sz w:val="18"/>
          <w:szCs w:val="18"/>
        </w:rPr>
        <w:t>09</w:t>
      </w:r>
      <w:r>
        <w:rPr>
          <w:rFonts w:hint="eastAsia"/>
          <w:sz w:val="18"/>
          <w:szCs w:val="18"/>
        </w:rPr>
        <w:t>项按以下选项填写数字：</w:t>
      </w:r>
      <w:r>
        <w:rPr>
          <w:b/>
          <w:sz w:val="18"/>
          <w:szCs w:val="18"/>
        </w:rPr>
        <w:t>06</w:t>
      </w:r>
      <w:r>
        <w:rPr>
          <w:rFonts w:hint="eastAsia"/>
          <w:b/>
          <w:sz w:val="18"/>
          <w:szCs w:val="18"/>
        </w:rPr>
        <w:t>项对应数字编码：</w:t>
      </w:r>
      <w:r>
        <w:rPr>
          <w:sz w:val="18"/>
          <w:szCs w:val="18"/>
        </w:rPr>
        <w:t xml:space="preserve">  10 中央 20 省（自治区、直辖市） 40 地（区、市、州、盟）  50 县（区、市、旗） 60</w:t>
      </w:r>
      <w:r>
        <w:rPr>
          <w:rFonts w:hint="eastAsia"/>
          <w:sz w:val="18"/>
          <w:szCs w:val="18"/>
        </w:rPr>
        <w:t>街道（镇、乡）</w:t>
      </w:r>
      <w:r>
        <w:rPr>
          <w:sz w:val="18"/>
          <w:szCs w:val="18"/>
        </w:rPr>
        <w:t xml:space="preserve">  70 居委会</w:t>
      </w:r>
      <w:r>
        <w:rPr>
          <w:rFonts w:hint="eastAsia"/>
          <w:sz w:val="18"/>
          <w:szCs w:val="18"/>
        </w:rPr>
        <w:t>（</w:t>
      </w:r>
      <w:r>
        <w:rPr>
          <w:sz w:val="18"/>
          <w:szCs w:val="18"/>
        </w:rPr>
        <w:t xml:space="preserve"> 村民委员会 </w:t>
      </w:r>
      <w:r>
        <w:rPr>
          <w:rFonts w:hint="eastAsia"/>
          <w:sz w:val="18"/>
          <w:szCs w:val="18"/>
        </w:rPr>
        <w:t>）</w:t>
      </w:r>
      <w:r>
        <w:rPr>
          <w:sz w:val="18"/>
          <w:szCs w:val="18"/>
        </w:rPr>
        <w:t xml:space="preserve"> 90 其他；</w:t>
      </w:r>
      <w:r>
        <w:rPr>
          <w:b/>
          <w:sz w:val="18"/>
          <w:szCs w:val="18"/>
        </w:rPr>
        <w:t>08</w:t>
      </w:r>
      <w:r>
        <w:rPr>
          <w:rFonts w:hint="eastAsia"/>
          <w:b/>
          <w:sz w:val="18"/>
          <w:szCs w:val="18"/>
        </w:rPr>
        <w:t>项对应数字编码：</w:t>
      </w:r>
      <w:r>
        <w:rPr>
          <w:b/>
          <w:sz w:val="18"/>
          <w:szCs w:val="18"/>
        </w:rPr>
        <w:t xml:space="preserve"> </w:t>
      </w:r>
      <w:r>
        <w:rPr>
          <w:sz w:val="18"/>
          <w:szCs w:val="18"/>
        </w:rPr>
        <w:t xml:space="preserve"> 1大型企业 2中型企业 3小型企业 4微型企业</w:t>
      </w:r>
      <w:r>
        <w:rPr>
          <w:rFonts w:hint="eastAsia"/>
          <w:sz w:val="18"/>
          <w:szCs w:val="18"/>
        </w:rPr>
        <w:t>；</w:t>
      </w:r>
      <w:r>
        <w:rPr>
          <w:b/>
          <w:sz w:val="18"/>
          <w:szCs w:val="18"/>
        </w:rPr>
        <w:t>09</w:t>
      </w:r>
      <w:r>
        <w:rPr>
          <w:rFonts w:hint="eastAsia"/>
          <w:b/>
          <w:sz w:val="18"/>
          <w:szCs w:val="18"/>
        </w:rPr>
        <w:t>项对应数字编码：</w:t>
      </w:r>
      <w:r>
        <w:rPr>
          <w:b/>
          <w:sz w:val="18"/>
          <w:szCs w:val="18"/>
        </w:rPr>
        <w:t xml:space="preserve"> </w:t>
      </w:r>
      <w:r>
        <w:rPr>
          <w:sz w:val="18"/>
          <w:szCs w:val="18"/>
        </w:rPr>
        <w:t xml:space="preserve">110 </w:t>
      </w:r>
      <w:r>
        <w:rPr>
          <w:rFonts w:hint="eastAsia"/>
          <w:sz w:val="18"/>
          <w:szCs w:val="18"/>
        </w:rPr>
        <w:t>国有</w:t>
      </w:r>
      <w:r>
        <w:rPr>
          <w:sz w:val="18"/>
          <w:szCs w:val="18"/>
        </w:rPr>
        <w:t xml:space="preserve"> 120 </w:t>
      </w:r>
      <w:r>
        <w:rPr>
          <w:rFonts w:hint="eastAsia"/>
          <w:sz w:val="18"/>
          <w:szCs w:val="18"/>
        </w:rPr>
        <w:t>集体</w:t>
      </w:r>
      <w:r>
        <w:rPr>
          <w:sz w:val="18"/>
          <w:szCs w:val="18"/>
        </w:rPr>
        <w:t xml:space="preserve"> 130 </w:t>
      </w:r>
      <w:r>
        <w:rPr>
          <w:rFonts w:hint="eastAsia"/>
          <w:sz w:val="18"/>
          <w:szCs w:val="18"/>
        </w:rPr>
        <w:t>股份合作</w:t>
      </w:r>
      <w:r>
        <w:rPr>
          <w:sz w:val="18"/>
          <w:szCs w:val="18"/>
        </w:rPr>
        <w:t xml:space="preserve"> 140 </w:t>
      </w:r>
      <w:r>
        <w:rPr>
          <w:rFonts w:hint="eastAsia"/>
          <w:sz w:val="18"/>
          <w:szCs w:val="18"/>
        </w:rPr>
        <w:t>联营企业</w:t>
      </w:r>
      <w:r>
        <w:rPr>
          <w:sz w:val="18"/>
          <w:szCs w:val="18"/>
        </w:rPr>
        <w:t xml:space="preserve"> 150 </w:t>
      </w:r>
      <w:r>
        <w:rPr>
          <w:rFonts w:hint="eastAsia"/>
          <w:sz w:val="18"/>
          <w:szCs w:val="18"/>
        </w:rPr>
        <w:t>有限责任公司</w:t>
      </w:r>
      <w:r>
        <w:rPr>
          <w:sz w:val="18"/>
          <w:szCs w:val="18"/>
        </w:rPr>
        <w:t xml:space="preserve"> 160 </w:t>
      </w:r>
      <w:r>
        <w:rPr>
          <w:rFonts w:hint="eastAsia"/>
          <w:sz w:val="18"/>
          <w:szCs w:val="18"/>
        </w:rPr>
        <w:t>股份有限公司</w:t>
      </w:r>
      <w:r>
        <w:rPr>
          <w:sz w:val="18"/>
          <w:szCs w:val="18"/>
        </w:rPr>
        <w:t xml:space="preserve"> 170 </w:t>
      </w:r>
      <w:r>
        <w:rPr>
          <w:rFonts w:hint="eastAsia"/>
          <w:sz w:val="18"/>
          <w:szCs w:val="18"/>
        </w:rPr>
        <w:t>私营企业</w:t>
      </w:r>
      <w:r>
        <w:rPr>
          <w:sz w:val="18"/>
          <w:szCs w:val="18"/>
        </w:rPr>
        <w:t xml:space="preserve"> 190 </w:t>
      </w:r>
      <w:r>
        <w:rPr>
          <w:rFonts w:hint="eastAsia"/>
          <w:sz w:val="18"/>
          <w:szCs w:val="18"/>
        </w:rPr>
        <w:t>其他企业</w:t>
      </w:r>
      <w:r>
        <w:rPr>
          <w:sz w:val="18"/>
          <w:szCs w:val="18"/>
        </w:rPr>
        <w:t xml:space="preserve"> 210 </w:t>
      </w:r>
      <w:r>
        <w:rPr>
          <w:rFonts w:hint="eastAsia"/>
          <w:sz w:val="18"/>
          <w:szCs w:val="18"/>
        </w:rPr>
        <w:t>合资经营企业（港或澳、台资）</w:t>
      </w:r>
      <w:r>
        <w:rPr>
          <w:sz w:val="18"/>
          <w:szCs w:val="18"/>
        </w:rPr>
        <w:t xml:space="preserve"> 220 </w:t>
      </w:r>
      <w:r>
        <w:rPr>
          <w:rFonts w:hint="eastAsia"/>
          <w:sz w:val="18"/>
          <w:szCs w:val="18"/>
        </w:rPr>
        <w:t>合作经营企业（港或澳、台资）</w:t>
      </w:r>
      <w:r>
        <w:rPr>
          <w:sz w:val="18"/>
          <w:szCs w:val="18"/>
        </w:rPr>
        <w:t xml:space="preserve"> 230 </w:t>
      </w:r>
      <w:r>
        <w:rPr>
          <w:rFonts w:hint="eastAsia"/>
          <w:sz w:val="18"/>
          <w:szCs w:val="18"/>
        </w:rPr>
        <w:t>港、澳、台商独资经营企业</w:t>
      </w:r>
      <w:r>
        <w:rPr>
          <w:sz w:val="18"/>
          <w:szCs w:val="18"/>
        </w:rPr>
        <w:t xml:space="preserve">  240 </w:t>
      </w:r>
      <w:r>
        <w:rPr>
          <w:rFonts w:hint="eastAsia"/>
          <w:sz w:val="18"/>
          <w:szCs w:val="18"/>
        </w:rPr>
        <w:t>港、澳、台商投资股份有限公司</w:t>
      </w:r>
      <w:r>
        <w:rPr>
          <w:sz w:val="18"/>
          <w:szCs w:val="18"/>
        </w:rPr>
        <w:t xml:space="preserve">  290其他港、澳、台商投资企业  310 </w:t>
      </w:r>
      <w:r>
        <w:rPr>
          <w:rFonts w:hint="eastAsia"/>
          <w:sz w:val="18"/>
          <w:szCs w:val="18"/>
        </w:rPr>
        <w:t>中外合资经营</w:t>
      </w:r>
      <w:r>
        <w:rPr>
          <w:sz w:val="18"/>
          <w:szCs w:val="18"/>
        </w:rPr>
        <w:t xml:space="preserve"> 320 </w:t>
      </w:r>
      <w:r>
        <w:rPr>
          <w:rFonts w:hint="eastAsia"/>
          <w:sz w:val="18"/>
          <w:szCs w:val="18"/>
        </w:rPr>
        <w:t>中外合作经营</w:t>
      </w:r>
      <w:r>
        <w:rPr>
          <w:sz w:val="18"/>
          <w:szCs w:val="18"/>
        </w:rPr>
        <w:t xml:space="preserve">  330外资企业 340 </w:t>
      </w:r>
      <w:r>
        <w:rPr>
          <w:rFonts w:hint="eastAsia"/>
          <w:sz w:val="18"/>
          <w:szCs w:val="18"/>
        </w:rPr>
        <w:t>外商投资股份有限公司</w:t>
      </w:r>
      <w:r>
        <w:rPr>
          <w:sz w:val="18"/>
          <w:szCs w:val="18"/>
        </w:rPr>
        <w:t xml:space="preserve"> 390 其他外商投资企业 </w:t>
      </w:r>
      <w:r>
        <w:rPr>
          <w:rFonts w:hint="eastAsia"/>
          <w:sz w:val="18"/>
          <w:szCs w:val="18"/>
        </w:rPr>
        <w:t>。</w:t>
      </w:r>
    </w:p>
    <w:p>
      <w:pPr>
        <w:tabs>
          <w:tab w:val="left" w:pos="5115"/>
        </w:tabs>
        <w:spacing w:line="200" w:lineRule="exact"/>
        <w:ind w:firstLine="810" w:firstLineChars="450"/>
        <w:rPr>
          <w:sz w:val="18"/>
          <w:szCs w:val="18"/>
        </w:rPr>
        <w:sectPr>
          <w:footerReference r:id="rId6" w:type="default"/>
          <w:pgSz w:w="11906" w:h="16838"/>
          <w:pgMar w:top="1418" w:right="1247" w:bottom="1304" w:left="1247" w:header="851" w:footer="584" w:gutter="0"/>
          <w:pgNumType w:fmt="numberInDash"/>
          <w:cols w:space="720" w:num="1"/>
          <w:docGrid w:type="lines" w:linePitch="312" w:charSpace="0"/>
        </w:sectPr>
      </w:pPr>
      <w:r>
        <w:rPr>
          <w:sz w:val="18"/>
          <w:szCs w:val="18"/>
        </w:rPr>
        <w:t>3.第10项中的两个分项以及第11项，新业态平台企业不需填写。</w:t>
      </w:r>
    </w:p>
    <w:p/>
    <w:p/>
    <w:p>
      <w:pPr>
        <w:pStyle w:val="30"/>
        <w:snapToGrid w:val="0"/>
        <w:spacing w:line="600" w:lineRule="exact"/>
        <w:rPr>
          <w:b/>
          <w:bCs/>
          <w:color w:val="C00000"/>
          <w:sz w:val="30"/>
          <w:szCs w:val="30"/>
        </w:rPr>
      </w:pPr>
      <w:r>
        <w:rPr>
          <w:rFonts w:hint="eastAsia"/>
        </w:rPr>
        <w:t xml:space="preserve"> </w:t>
      </w:r>
      <w:r>
        <w:t xml:space="preserve">   </w:t>
      </w:r>
      <w:r>
        <w:rPr>
          <w:rFonts w:ascii="宋体" w:hAnsi="宋体" w:eastAsiaTheme="minorEastAsia"/>
          <w:sz w:val="30"/>
          <w:szCs w:val="30"/>
        </w:rPr>
        <w:t xml:space="preserve"> </w:t>
      </w:r>
      <w:r>
        <w:rPr>
          <w:rFonts w:ascii="宋体" w:hAnsi="宋体" w:eastAsiaTheme="minorEastAsia"/>
          <w:b/>
          <w:bCs/>
          <w:sz w:val="30"/>
          <w:szCs w:val="30"/>
        </w:rPr>
        <w:t xml:space="preserve"> </w:t>
      </w:r>
      <w:r>
        <w:rPr>
          <w:rFonts w:hint="eastAsia" w:ascii="宋体" w:hAnsi="宋体" w:eastAsiaTheme="minorEastAsia"/>
          <w:b/>
          <w:bCs/>
          <w:color w:val="C00000"/>
          <w:sz w:val="30"/>
          <w:szCs w:val="30"/>
        </w:rPr>
        <w:t>注意：</w:t>
      </w:r>
      <w:r>
        <w:rPr>
          <w:rFonts w:hint="eastAsia" w:ascii="仿宋" w:hAnsi="仿宋" w:eastAsia="仿宋" w:cs="仿宋"/>
          <w:b/>
          <w:bCs/>
          <w:color w:val="C00000"/>
          <w:sz w:val="30"/>
          <w:szCs w:val="30"/>
        </w:rPr>
        <w:t>2021年度全年实际生产经营</w:t>
      </w:r>
      <w:r>
        <w:rPr>
          <w:rFonts w:hint="eastAsia" w:ascii="仿宋" w:hAnsi="仿宋" w:eastAsia="仿宋" w:cs="仿宋"/>
          <w:b/>
          <w:bCs/>
          <w:color w:val="C00000"/>
          <w:sz w:val="30"/>
          <w:szCs w:val="30"/>
          <w:em w:val="dot"/>
        </w:rPr>
        <w:t>累计</w:t>
      </w:r>
      <w:r>
        <w:rPr>
          <w:rFonts w:hint="eastAsia" w:ascii="仿宋" w:hAnsi="仿宋" w:eastAsia="仿宋" w:cs="仿宋"/>
          <w:b/>
          <w:bCs/>
          <w:color w:val="C00000"/>
          <w:sz w:val="30"/>
          <w:szCs w:val="30"/>
        </w:rPr>
        <w:t>少于6个月的企业，不纳入本次调查。</w:t>
      </w:r>
    </w:p>
    <w:p>
      <w:pPr>
        <w:pStyle w:val="22"/>
        <w:adjustRightInd w:val="0"/>
        <w:snapToGrid w:val="0"/>
        <w:spacing w:after="0" w:line="360" w:lineRule="auto"/>
        <w:ind w:firstLine="600" w:firstLineChars="200"/>
        <w:rPr>
          <w:rFonts w:ascii="楷体" w:hAnsi="楷体" w:eastAsia="楷体"/>
          <w:sz w:val="30"/>
          <w:szCs w:val="30"/>
        </w:rPr>
      </w:pPr>
      <w:r>
        <w:rPr>
          <w:rFonts w:ascii="楷体" w:hAnsi="楷体" w:eastAsia="楷体"/>
          <w:sz w:val="30"/>
          <w:szCs w:val="30"/>
        </w:rPr>
        <w:t>（一）</w:t>
      </w:r>
      <w:r>
        <w:rPr>
          <w:rFonts w:hint="eastAsia" w:ascii="楷体" w:hAnsi="楷体" w:eastAsia="楷体"/>
          <w:sz w:val="30"/>
          <w:szCs w:val="30"/>
        </w:rPr>
        <w:t>统一社会信用代码（组织机构</w:t>
      </w:r>
      <w:r>
        <w:rPr>
          <w:rFonts w:ascii="楷体" w:hAnsi="楷体" w:eastAsia="楷体"/>
          <w:sz w:val="30"/>
          <w:szCs w:val="30"/>
        </w:rPr>
        <w:t>代码</w:t>
      </w:r>
      <w:r>
        <w:rPr>
          <w:rFonts w:hint="eastAsia" w:ascii="楷体" w:hAnsi="楷体" w:eastAsia="楷体"/>
          <w:sz w:val="30"/>
          <w:szCs w:val="30"/>
        </w:rPr>
        <w:t>）</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 统一社会信用代码</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已经领取统一社会信用代码的法人单位和产业活动单位，应按照</w:t>
      </w:r>
      <w:r>
        <w:rPr>
          <w:rFonts w:hint="eastAsia" w:ascii="仿宋" w:hAnsi="仿宋" w:eastAsia="仿宋" w:cs="仿宋"/>
          <w:b/>
          <w:bCs/>
          <w:color w:val="C00000"/>
          <w:sz w:val="30"/>
          <w:szCs w:val="30"/>
        </w:rPr>
        <w:t>《营业执照》（证书）</w:t>
      </w:r>
      <w:r>
        <w:rPr>
          <w:rFonts w:hint="eastAsia" w:ascii="仿宋" w:hAnsi="仿宋" w:eastAsia="仿宋" w:cs="仿宋"/>
          <w:sz w:val="30"/>
          <w:szCs w:val="30"/>
        </w:rPr>
        <w:t>上的统一社会信用代码填写。统一社会信用代码由18位的阿拉伯数字或大写英文字母（不使用I、O、Z、S、V）组成。其中：</w:t>
      </w:r>
    </w:p>
    <w:p>
      <w:pPr>
        <w:adjustRightInd w:val="0"/>
        <w:snapToGrid w:val="0"/>
        <w:spacing w:line="360" w:lineRule="auto"/>
        <w:ind w:firstLine="596" w:firstLineChars="198"/>
        <w:rPr>
          <w:rFonts w:ascii="仿宋" w:hAnsi="仿宋" w:eastAsia="仿宋" w:cs="仿宋"/>
          <w:sz w:val="30"/>
          <w:szCs w:val="30"/>
        </w:rPr>
      </w:pPr>
      <w:r>
        <w:rPr>
          <w:rFonts w:hint="eastAsia" w:ascii="仿宋" w:hAnsi="仿宋" w:eastAsia="仿宋" w:cs="仿宋"/>
          <w:b/>
          <w:sz w:val="30"/>
          <w:szCs w:val="30"/>
        </w:rPr>
        <w:t>第1位</w:t>
      </w:r>
      <w:r>
        <w:rPr>
          <w:rFonts w:hint="eastAsia" w:ascii="仿宋" w:hAnsi="仿宋" w:eastAsia="仿宋" w:cs="仿宋"/>
          <w:sz w:val="30"/>
          <w:szCs w:val="30"/>
        </w:rPr>
        <w:t>：登记管理部门代码，使用阿拉伯数字或英文字母表示。分为1机构编制；5民政；9工商；Y其他。</w:t>
      </w:r>
      <w:r>
        <w:rPr>
          <w:rFonts w:hint="eastAsia" w:ascii="仿宋" w:hAnsi="仿宋" w:eastAsia="仿宋" w:cs="仿宋"/>
          <w:sz w:val="30"/>
          <w:szCs w:val="30"/>
        </w:rPr>
        <w:br w:type="textWrapping"/>
      </w:r>
      <w:r>
        <w:rPr>
          <w:rFonts w:hint="eastAsia" w:ascii="仿宋" w:hAnsi="仿宋" w:eastAsia="仿宋" w:cs="仿宋"/>
          <w:b/>
          <w:sz w:val="30"/>
          <w:szCs w:val="30"/>
        </w:rPr>
        <w:t xml:space="preserve">    第2位</w:t>
      </w:r>
      <w:r>
        <w:rPr>
          <w:rFonts w:hint="eastAsia" w:ascii="仿宋" w:hAnsi="仿宋" w:eastAsia="仿宋" w:cs="仿宋"/>
          <w:sz w:val="30"/>
          <w:szCs w:val="30"/>
        </w:rPr>
        <w:t>：机构类别代码，使用阿拉伯数字表示。分为：</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机构编制：1机关，2事业单位，3中央编办直接管理机构编制的群众团体；</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民政：1社会团体，2民办非企业单位，3基金会；</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工商：1企业，2个体工商户，3农民专业合作社；</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其他：不再具体划分机构类别，统一用1表示。</w:t>
      </w:r>
    </w:p>
    <w:p>
      <w:pPr>
        <w:adjustRightInd w:val="0"/>
        <w:snapToGrid w:val="0"/>
        <w:spacing w:line="360" w:lineRule="auto"/>
        <w:ind w:firstLine="590" w:firstLineChars="196"/>
        <w:rPr>
          <w:rFonts w:ascii="仿宋" w:hAnsi="仿宋" w:eastAsia="仿宋" w:cs="仿宋"/>
          <w:sz w:val="30"/>
          <w:szCs w:val="30"/>
        </w:rPr>
      </w:pPr>
      <w:r>
        <w:rPr>
          <w:rFonts w:hint="eastAsia" w:ascii="仿宋" w:hAnsi="仿宋" w:eastAsia="仿宋" w:cs="仿宋"/>
          <w:b/>
          <w:sz w:val="30"/>
          <w:szCs w:val="30"/>
        </w:rPr>
        <w:t>第3—8位</w:t>
      </w:r>
      <w:r>
        <w:rPr>
          <w:rFonts w:hint="eastAsia" w:ascii="仿宋" w:hAnsi="仿宋" w:eastAsia="仿宋" w:cs="仿宋"/>
          <w:sz w:val="30"/>
          <w:szCs w:val="30"/>
        </w:rPr>
        <w:t>：登记管理机关行政区划码，使用阿拉伯数字表示（参照《中华人民共和国行政区划代码》〔GB/T 2260—2007〕）。</w:t>
      </w:r>
    </w:p>
    <w:p>
      <w:pPr>
        <w:adjustRightInd w:val="0"/>
        <w:snapToGrid w:val="0"/>
        <w:spacing w:line="360" w:lineRule="auto"/>
        <w:ind w:firstLine="593" w:firstLineChars="197"/>
        <w:rPr>
          <w:rFonts w:ascii="仿宋" w:hAnsi="仿宋" w:eastAsia="仿宋" w:cs="仿宋"/>
          <w:sz w:val="30"/>
          <w:szCs w:val="30"/>
        </w:rPr>
      </w:pPr>
      <w:r>
        <w:rPr>
          <w:rFonts w:hint="eastAsia" w:ascii="仿宋" w:hAnsi="仿宋" w:eastAsia="仿宋" w:cs="仿宋"/>
          <w:b/>
          <w:sz w:val="30"/>
          <w:szCs w:val="30"/>
        </w:rPr>
        <w:t>第9—17位</w:t>
      </w:r>
      <w:r>
        <w:rPr>
          <w:rFonts w:hint="eastAsia" w:ascii="仿宋" w:hAnsi="仿宋" w:eastAsia="仿宋" w:cs="仿宋"/>
          <w:sz w:val="30"/>
          <w:szCs w:val="30"/>
        </w:rPr>
        <w:t>：主体标识（组织机构代码），使用阿拉伯数字或英文字母表示。（参照《全国组织机构代码编制规则》〔GB 11714—1997〕）</w:t>
      </w:r>
    </w:p>
    <w:p>
      <w:pPr>
        <w:adjustRightInd w:val="0"/>
        <w:snapToGrid w:val="0"/>
        <w:spacing w:line="360" w:lineRule="auto"/>
        <w:ind w:firstLine="596" w:firstLineChars="198"/>
        <w:rPr>
          <w:rFonts w:ascii="仿宋" w:hAnsi="仿宋" w:eastAsia="仿宋" w:cs="仿宋"/>
          <w:sz w:val="30"/>
          <w:szCs w:val="30"/>
        </w:rPr>
      </w:pPr>
      <w:r>
        <w:rPr>
          <w:rFonts w:hint="eastAsia" w:ascii="仿宋" w:hAnsi="仿宋" w:eastAsia="仿宋" w:cs="仿宋"/>
          <w:b/>
          <w:sz w:val="30"/>
          <w:szCs w:val="30"/>
        </w:rPr>
        <w:t>第18位</w:t>
      </w:r>
      <w:r>
        <w:rPr>
          <w:rFonts w:hint="eastAsia" w:ascii="仿宋" w:hAnsi="仿宋" w:eastAsia="仿宋" w:cs="仿宋"/>
          <w:sz w:val="30"/>
          <w:szCs w:val="30"/>
        </w:rPr>
        <w:t>：校验码，使用阿拉伯数字或英文字母表示。</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2.组织机构代码  </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在填写时，要按照技术监督部门颁发的</w:t>
      </w:r>
      <w:r>
        <w:rPr>
          <w:rFonts w:hint="eastAsia" w:ascii="仿宋" w:hAnsi="仿宋" w:eastAsia="仿宋" w:cs="仿宋"/>
          <w:b/>
          <w:bCs/>
          <w:color w:val="C00000"/>
          <w:sz w:val="30"/>
          <w:szCs w:val="30"/>
        </w:rPr>
        <w:t>《中华人民共和国组织机构代码证》</w:t>
      </w:r>
      <w:r>
        <w:rPr>
          <w:rFonts w:hint="eastAsia" w:ascii="仿宋" w:hAnsi="仿宋" w:eastAsia="仿宋" w:cs="仿宋"/>
          <w:sz w:val="30"/>
          <w:szCs w:val="30"/>
        </w:rPr>
        <w:t>上的代码填写（也可参照税务部门颁发的税务登记证书上的税务登记号的后九位填写）。</w:t>
      </w:r>
    </w:p>
    <w:p>
      <w:pPr>
        <w:adjustRightInd w:val="0"/>
        <w:snapToGrid w:val="0"/>
        <w:spacing w:line="360" w:lineRule="auto"/>
        <w:ind w:firstLine="560"/>
        <w:rPr>
          <w:rFonts w:ascii="仿宋" w:hAnsi="仿宋" w:eastAsia="仿宋" w:cs="仿宋"/>
          <w:sz w:val="30"/>
          <w:szCs w:val="30"/>
        </w:rPr>
      </w:pPr>
      <w:r>
        <w:rPr>
          <w:rFonts w:hint="eastAsia" w:ascii="仿宋" w:hAnsi="仿宋" w:eastAsia="仿宋" w:cs="仿宋"/>
          <w:sz w:val="30"/>
          <w:szCs w:val="30"/>
        </w:rPr>
        <w:t>产业活动单位是本部的，如果没有法定代码，使用法人单位法定代码的前八位，第九位校验码填“B”。</w:t>
      </w:r>
    </w:p>
    <w:p>
      <w:pPr>
        <w:pStyle w:val="22"/>
        <w:adjustRightInd w:val="0"/>
        <w:snapToGrid w:val="0"/>
        <w:spacing w:after="0" w:line="360" w:lineRule="auto"/>
        <w:ind w:firstLine="602" w:firstLineChars="200"/>
        <w:rPr>
          <w:rFonts w:ascii="仿宋" w:hAnsi="仿宋" w:eastAsia="仿宋" w:cs="仿宋"/>
          <w:sz w:val="30"/>
          <w:szCs w:val="30"/>
        </w:rPr>
      </w:pPr>
      <w:r>
        <w:rPr>
          <w:rFonts w:hint="eastAsia" w:ascii="仿宋" w:hAnsi="仿宋" w:eastAsia="仿宋" w:cs="仿宋"/>
          <w:b/>
          <w:bCs/>
          <w:color w:val="C00000"/>
          <w:kern w:val="0"/>
          <w:sz w:val="30"/>
          <w:szCs w:val="30"/>
          <w:lang w:bidi="en-US"/>
        </w:rPr>
        <w:t>填报要求：统一社会信用代码或组织机构代码作为企业薪酬调查信息系统中样本企业的用户名,二者选填其一。</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（二）法人单位名称</w:t>
      </w:r>
    </w:p>
    <w:p>
      <w:pPr>
        <w:adjustRightInd w:val="0"/>
        <w:snapToGrid w:val="0"/>
        <w:spacing w:line="360" w:lineRule="auto"/>
        <w:ind w:firstLine="560"/>
        <w:rPr>
          <w:rFonts w:ascii="仿宋" w:hAnsi="仿宋" w:eastAsia="仿宋" w:cs="仿宋"/>
          <w:kern w:val="0"/>
          <w:sz w:val="30"/>
          <w:szCs w:val="30"/>
          <w:lang w:bidi="en-US"/>
        </w:rPr>
      </w:pPr>
      <w:r>
        <w:rPr>
          <w:rFonts w:hint="eastAsia" w:ascii="仿宋" w:hAnsi="仿宋" w:eastAsia="仿宋" w:cs="仿宋"/>
          <w:kern w:val="0"/>
          <w:sz w:val="30"/>
          <w:szCs w:val="30"/>
          <w:lang w:bidi="en-US"/>
        </w:rPr>
        <w:t>按市场监督管理部门登记的名称填写，与单位公章所使用的名称完全一致。要求使用规范化汉字。凡经登记主管机关核准或批准，具有两个或两个以上名称的单位，要求填写一个单位名称，同时用括号注明其余的单位名称。</w:t>
      </w:r>
    </w:p>
    <w:p>
      <w:pPr>
        <w:adjustRightInd w:val="0"/>
        <w:snapToGrid w:val="0"/>
        <w:spacing w:line="360" w:lineRule="auto"/>
        <w:ind w:firstLine="560"/>
        <w:rPr>
          <w:rFonts w:ascii="仿宋" w:hAnsi="仿宋" w:eastAsia="仿宋" w:cs="仿宋"/>
          <w:kern w:val="0"/>
          <w:sz w:val="30"/>
          <w:szCs w:val="30"/>
          <w:lang w:bidi="en-US"/>
        </w:rPr>
      </w:pPr>
      <w:r>
        <w:rPr>
          <w:rFonts w:hint="eastAsia" w:ascii="仿宋" w:hAnsi="仿宋" w:eastAsia="仿宋" w:cs="仿宋"/>
          <w:b/>
          <w:bCs/>
          <w:color w:val="C00000"/>
          <w:sz w:val="30"/>
          <w:szCs w:val="30"/>
        </w:rPr>
        <w:t>填报要求：必填，必须为汉字。</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（三）法定代表人（单位负责人）</w:t>
      </w:r>
    </w:p>
    <w:p>
      <w:pPr>
        <w:adjustRightInd w:val="0"/>
        <w:snapToGrid w:val="0"/>
        <w:spacing w:line="360" w:lineRule="auto"/>
        <w:ind w:firstLine="560"/>
        <w:rPr>
          <w:rFonts w:ascii="仿宋" w:hAnsi="仿宋" w:eastAsia="仿宋" w:cs="仿宋"/>
          <w:sz w:val="30"/>
          <w:szCs w:val="30"/>
        </w:rPr>
      </w:pPr>
      <w:r>
        <w:rPr>
          <w:rFonts w:hint="eastAsia" w:ascii="仿宋" w:hAnsi="仿宋" w:eastAsia="仿宋" w:cs="仿宋"/>
          <w:sz w:val="30"/>
          <w:szCs w:val="30"/>
        </w:rPr>
        <w:t>是指依照法律或者法人组织章程规定，代表法人行使职权的负责人。按《企业法人营业执照》（或新版《营业执照》）或《个人独资或合伙企业营业执照》填写。</w:t>
      </w:r>
    </w:p>
    <w:p>
      <w:pPr>
        <w:adjustRightInd w:val="0"/>
        <w:snapToGrid w:val="0"/>
        <w:spacing w:line="360" w:lineRule="auto"/>
        <w:ind w:firstLine="560"/>
        <w:rPr>
          <w:rFonts w:ascii="仿宋" w:hAnsi="仿宋" w:eastAsia="仿宋" w:cs="仿宋"/>
          <w:sz w:val="30"/>
          <w:szCs w:val="30"/>
        </w:rPr>
      </w:pPr>
      <w:r>
        <w:rPr>
          <w:rFonts w:hint="eastAsia" w:ascii="仿宋" w:hAnsi="仿宋" w:eastAsia="仿宋" w:cs="仿宋"/>
          <w:b/>
          <w:bCs/>
          <w:color w:val="C00000"/>
          <w:sz w:val="30"/>
          <w:szCs w:val="30"/>
        </w:rPr>
        <w:t>填报要求：必填，不得为数字。</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（四）联系方式（固定电话、移动电话）</w:t>
      </w:r>
    </w:p>
    <w:p>
      <w:pPr>
        <w:adjustRightInd w:val="0"/>
        <w:snapToGrid w:val="0"/>
        <w:spacing w:line="360" w:lineRule="auto"/>
        <w:ind w:firstLine="560"/>
        <w:rPr>
          <w:rFonts w:ascii="仿宋" w:hAnsi="仿宋" w:eastAsia="仿宋" w:cs="仿宋"/>
          <w:sz w:val="30"/>
          <w:szCs w:val="30"/>
        </w:rPr>
      </w:pPr>
      <w:r>
        <w:rPr>
          <w:rFonts w:hint="eastAsia" w:ascii="仿宋" w:hAnsi="仿宋" w:eastAsia="仿宋" w:cs="仿宋"/>
          <w:sz w:val="30"/>
          <w:szCs w:val="30"/>
        </w:rPr>
        <w:t>移动电话号码是企业修改企业薪酬调查信息系统密码的验证标识，有修改密码需求的企业必须用登记的移动电话号码联系人社部门联系人，核对无误后人社部门联系人可帮助企业修改密码。</w:t>
      </w:r>
    </w:p>
    <w:p>
      <w:pPr>
        <w:adjustRightInd w:val="0"/>
        <w:snapToGrid w:val="0"/>
        <w:spacing w:line="360" w:lineRule="auto"/>
        <w:ind w:firstLine="560"/>
        <w:rPr>
          <w:rFonts w:ascii="仿宋" w:hAnsi="仿宋" w:eastAsia="仿宋" w:cs="仿宋"/>
          <w:sz w:val="30"/>
          <w:szCs w:val="30"/>
        </w:rPr>
      </w:pPr>
      <w:r>
        <w:rPr>
          <w:rFonts w:hint="eastAsia" w:ascii="仿宋" w:hAnsi="仿宋" w:eastAsia="仿宋" w:cs="仿宋"/>
          <w:b/>
          <w:bCs/>
          <w:color w:val="C00000"/>
          <w:sz w:val="30"/>
          <w:szCs w:val="30"/>
        </w:rPr>
        <w:t>填报要求：二者选填其一，数字型。</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（五）企业所在地行政区划代码</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指企业单位所在地区的行政区划代码，共有6位数字组成，统一按《中华人民共和国行政区划代码》（GB/T 2260）填写。这部分可分为三个层次，从左到右的含义分别是：第一、二位表示省(自治区、直辖市、特别行政区)；第三、四位表示市(地区、自治州、盟及直辖市所属市辖区和县)；第五、六位表示县(市辖区、县级市、旗)。</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如湖北省武汉市武昌区的行政区域代码为420106，其中42代表“湖北”，01代表“武汉”，06代表“武昌”。企业在填报时，可直接填写调查实施机构给本企业指定的“企业编码”的前六位。</w:t>
      </w:r>
    </w:p>
    <w:p>
      <w:pPr>
        <w:pStyle w:val="22"/>
        <w:adjustRightInd w:val="0"/>
        <w:snapToGrid w:val="0"/>
        <w:spacing w:after="0" w:line="360" w:lineRule="auto"/>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填报要求：必填。系统自动设置或由人社部门工作人员修改。</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企业首次参与调查的，</w:t>
      </w:r>
      <w:r>
        <w:rPr>
          <w:rFonts w:hint="eastAsia" w:ascii="仿宋" w:hAnsi="仿宋" w:eastAsia="仿宋" w:cs="仿宋"/>
          <w:kern w:val="0"/>
          <w:sz w:val="30"/>
          <w:szCs w:val="30"/>
        </w:rPr>
        <w:t>在薪酬调查系统</w:t>
      </w:r>
      <w:r>
        <w:rPr>
          <w:rFonts w:hint="eastAsia" w:ascii="仿宋" w:hAnsi="仿宋" w:eastAsia="仿宋" w:cs="仿宋"/>
          <w:sz w:val="30"/>
          <w:szCs w:val="30"/>
        </w:rPr>
        <w:t>下发的企业名录中自动附带其行政区划代码。</w:t>
      </w:r>
      <w:r>
        <w:rPr>
          <w:rFonts w:hint="eastAsia" w:ascii="仿宋" w:hAnsi="仿宋" w:eastAsia="仿宋" w:cs="仿宋"/>
          <w:kern w:val="0"/>
          <w:sz w:val="30"/>
          <w:szCs w:val="30"/>
        </w:rPr>
        <w:t>后期根据实际情况需要对参加调查企业进行调配调整的，由人社部门在系统中修改、确认。</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（六）单位隶属关系</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指本单位隶属于哪一级行政管理单位。按照国家标准《单位隶属关系代码》（GB/T12404-1997）分为：中央、省（自治区、直辖市）、地（区、市、州、盟）、县（区、市、旗）、街道（镇、乡）、居委会（村民委员会）和其他。</w:t>
      </w:r>
    </w:p>
    <w:p>
      <w:pPr>
        <w:adjustRightInd w:val="0"/>
        <w:snapToGrid w:val="0"/>
        <w:spacing w:line="360" w:lineRule="auto"/>
        <w:ind w:firstLine="602" w:firstLineChars="200"/>
        <w:rPr>
          <w:rFonts w:ascii="Times New Roman"/>
        </w:rPr>
      </w:pPr>
      <w:r>
        <w:rPr>
          <w:rFonts w:hint="eastAsia" w:ascii="仿宋" w:hAnsi="仿宋" w:eastAsia="仿宋" w:cs="仿宋"/>
          <w:b/>
          <w:bCs/>
          <w:sz w:val="30"/>
          <w:szCs w:val="30"/>
          <w:shd w:val="clear" w:color="auto" w:fill="FFFFFF"/>
        </w:rPr>
        <w:t>填报要求：必填，在系统中勾选。</w:t>
      </w:r>
    </w:p>
    <w:p>
      <w:pPr>
        <w:pStyle w:val="29"/>
        <w:widowControl w:val="0"/>
        <w:pBdr>
          <w:bottom w:val="none" w:color="auto" w:sz="0" w:space="0"/>
        </w:pBdr>
        <w:spacing w:before="0" w:beforeAutospacing="0" w:after="0" w:afterAutospacing="0"/>
        <w:rPr>
          <w:rFonts w:ascii="Times New Roman" w:hAnsi="Times New Roman" w:eastAsia="黑体" w:cs="Times New Roman"/>
          <w:kern w:val="2"/>
        </w:rPr>
      </w:pPr>
      <w:r>
        <w:rPr>
          <w:rFonts w:ascii="Times New Roman" w:hAnsi="Times New Roman" w:eastAsia="黑体" w:cs="Times New Roman"/>
          <w:kern w:val="2"/>
        </w:rPr>
        <w:t>单位隶属关系标准</w:t>
      </w:r>
    </w:p>
    <w:tbl>
      <w:tblPr>
        <w:tblStyle w:val="17"/>
        <w:tblW w:w="887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14"/>
        <w:gridCol w:w="2035"/>
        <w:gridCol w:w="59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3" w:hRule="atLeast"/>
        </w:trPr>
        <w:tc>
          <w:tcPr>
            <w:tcW w:w="914" w:type="dxa"/>
            <w:tcBorders>
              <w:top w:val="single" w:color="auto" w:sz="8" w:space="0"/>
            </w:tcBorders>
            <w:vAlign w:val="center"/>
          </w:tcPr>
          <w:p>
            <w:pPr>
              <w:pStyle w:val="31"/>
              <w:ind w:firstLine="29" w:firstLineChars="14"/>
              <w:jc w:val="center"/>
              <w:rPr>
                <w:rFonts w:ascii="Times New Roman" w:eastAsia="黑体"/>
                <w:szCs w:val="21"/>
              </w:rPr>
            </w:pPr>
            <w:r>
              <w:rPr>
                <w:rFonts w:ascii="Times New Roman" w:eastAsia="黑体"/>
                <w:szCs w:val="21"/>
              </w:rPr>
              <w:t>代码</w:t>
            </w:r>
          </w:p>
        </w:tc>
        <w:tc>
          <w:tcPr>
            <w:tcW w:w="2035" w:type="dxa"/>
            <w:tcBorders>
              <w:top w:val="single" w:color="auto" w:sz="8" w:space="0"/>
            </w:tcBorders>
            <w:vAlign w:val="center"/>
          </w:tcPr>
          <w:p>
            <w:pPr>
              <w:pStyle w:val="31"/>
              <w:ind w:left="2" w:hanging="2" w:hangingChars="1"/>
              <w:jc w:val="center"/>
              <w:rPr>
                <w:rFonts w:ascii="Times New Roman" w:eastAsia="黑体"/>
                <w:szCs w:val="21"/>
              </w:rPr>
            </w:pPr>
            <w:r>
              <w:rPr>
                <w:rFonts w:ascii="Times New Roman" w:eastAsia="黑体"/>
                <w:szCs w:val="21"/>
              </w:rPr>
              <w:t>隶属关系名称</w:t>
            </w:r>
          </w:p>
        </w:tc>
        <w:tc>
          <w:tcPr>
            <w:tcW w:w="5929" w:type="dxa"/>
            <w:tcBorders>
              <w:top w:val="single" w:color="auto" w:sz="8" w:space="0"/>
            </w:tcBorders>
            <w:vAlign w:val="center"/>
          </w:tcPr>
          <w:p>
            <w:pPr>
              <w:pStyle w:val="31"/>
              <w:ind w:firstLine="16" w:firstLineChars="8"/>
              <w:jc w:val="center"/>
              <w:rPr>
                <w:rFonts w:ascii="Times New Roman" w:eastAsia="黑体"/>
                <w:szCs w:val="21"/>
              </w:rPr>
            </w:pPr>
            <w:r>
              <w:rPr>
                <w:rFonts w:ascii="Times New Roman" w:eastAsia="黑体"/>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31"/>
              <w:ind w:firstLine="29" w:firstLineChars="14"/>
              <w:rPr>
                <w:rFonts w:ascii="Times New Roman"/>
                <w:szCs w:val="21"/>
              </w:rPr>
            </w:pPr>
            <w:r>
              <w:rPr>
                <w:rFonts w:ascii="Times New Roman"/>
                <w:szCs w:val="21"/>
              </w:rPr>
              <w:t>10</w:t>
            </w:r>
          </w:p>
        </w:tc>
        <w:tc>
          <w:tcPr>
            <w:tcW w:w="2035" w:type="dxa"/>
            <w:vAlign w:val="center"/>
          </w:tcPr>
          <w:p>
            <w:pPr>
              <w:pStyle w:val="31"/>
              <w:ind w:left="2" w:hanging="2" w:hangingChars="1"/>
              <w:rPr>
                <w:rFonts w:ascii="Times New Roman"/>
                <w:szCs w:val="21"/>
              </w:rPr>
            </w:pPr>
            <w:r>
              <w:rPr>
                <w:rFonts w:ascii="Times New Roman"/>
                <w:szCs w:val="21"/>
              </w:rPr>
              <w:t>中央</w:t>
            </w:r>
          </w:p>
        </w:tc>
        <w:tc>
          <w:tcPr>
            <w:tcW w:w="5929" w:type="dxa"/>
            <w:vAlign w:val="center"/>
          </w:tcPr>
          <w:p>
            <w:pPr>
              <w:pStyle w:val="31"/>
              <w:ind w:firstLine="0" w:firstLineChars="0"/>
              <w:rPr>
                <w:rFonts w:ascii="Times New Roman"/>
                <w:szCs w:val="21"/>
              </w:rPr>
            </w:pPr>
            <w:r>
              <w:rPr>
                <w:rFonts w:ascii="Times New Roman"/>
                <w:szCs w:val="21"/>
              </w:rPr>
              <w:t>包括全国人大常委会，中共中央，国务院各部委及其所属机构、国务院各直属机构、办事机构及其所属机构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1" w:hRule="atLeast"/>
        </w:trPr>
        <w:tc>
          <w:tcPr>
            <w:tcW w:w="914" w:type="dxa"/>
            <w:vAlign w:val="center"/>
          </w:tcPr>
          <w:p>
            <w:pPr>
              <w:pStyle w:val="31"/>
              <w:ind w:firstLine="29" w:firstLineChars="14"/>
              <w:rPr>
                <w:rFonts w:ascii="Times New Roman"/>
                <w:szCs w:val="21"/>
              </w:rPr>
            </w:pPr>
            <w:r>
              <w:rPr>
                <w:rFonts w:ascii="Times New Roman"/>
                <w:szCs w:val="21"/>
              </w:rPr>
              <w:t>20</w:t>
            </w:r>
          </w:p>
        </w:tc>
        <w:tc>
          <w:tcPr>
            <w:tcW w:w="2035" w:type="dxa"/>
            <w:vAlign w:val="center"/>
          </w:tcPr>
          <w:p>
            <w:pPr>
              <w:pStyle w:val="31"/>
              <w:ind w:left="2" w:hanging="2" w:hangingChars="1"/>
              <w:rPr>
                <w:rFonts w:ascii="Times New Roman"/>
                <w:szCs w:val="21"/>
              </w:rPr>
            </w:pPr>
            <w:r>
              <w:rPr>
                <w:rFonts w:ascii="Times New Roman"/>
                <w:szCs w:val="21"/>
              </w:rPr>
              <w:t>省</w:t>
            </w:r>
          </w:p>
        </w:tc>
        <w:tc>
          <w:tcPr>
            <w:tcW w:w="5929" w:type="dxa"/>
            <w:vAlign w:val="center"/>
          </w:tcPr>
          <w:p>
            <w:pPr>
              <w:pStyle w:val="31"/>
              <w:ind w:firstLine="0" w:firstLineChars="0"/>
              <w:rPr>
                <w:rFonts w:ascii="Times New Roman"/>
                <w:szCs w:val="21"/>
              </w:rPr>
            </w:pPr>
            <w:r>
              <w:rPr>
                <w:rFonts w:ascii="Times New Roman"/>
                <w:szCs w:val="21"/>
              </w:rPr>
              <w:t>包括自治区、直辖市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914" w:type="dxa"/>
            <w:vAlign w:val="center"/>
          </w:tcPr>
          <w:p>
            <w:pPr>
              <w:pStyle w:val="31"/>
              <w:ind w:firstLine="29" w:firstLineChars="14"/>
              <w:rPr>
                <w:rFonts w:ascii="Times New Roman"/>
                <w:szCs w:val="21"/>
              </w:rPr>
            </w:pPr>
            <w:r>
              <w:rPr>
                <w:rFonts w:ascii="Times New Roman"/>
                <w:szCs w:val="21"/>
              </w:rPr>
              <w:t>40</w:t>
            </w:r>
          </w:p>
        </w:tc>
        <w:tc>
          <w:tcPr>
            <w:tcW w:w="2035" w:type="dxa"/>
            <w:vAlign w:val="center"/>
          </w:tcPr>
          <w:p>
            <w:pPr>
              <w:pStyle w:val="31"/>
              <w:ind w:left="2" w:hanging="2" w:hangingChars="1"/>
              <w:rPr>
                <w:rFonts w:ascii="Times New Roman"/>
                <w:szCs w:val="21"/>
              </w:rPr>
            </w:pPr>
            <w:r>
              <w:rPr>
                <w:rFonts w:ascii="Times New Roman"/>
                <w:szCs w:val="21"/>
              </w:rPr>
              <w:t>市、地区</w:t>
            </w:r>
          </w:p>
        </w:tc>
        <w:tc>
          <w:tcPr>
            <w:tcW w:w="5929" w:type="dxa"/>
            <w:vAlign w:val="center"/>
          </w:tcPr>
          <w:p>
            <w:pPr>
              <w:pStyle w:val="31"/>
              <w:ind w:firstLine="0" w:firstLineChars="0"/>
              <w:rPr>
                <w:rFonts w:ascii="Times New Roman"/>
                <w:szCs w:val="21"/>
              </w:rPr>
            </w:pPr>
            <w:r>
              <w:rPr>
                <w:rFonts w:ascii="Times New Roman"/>
                <w:szCs w:val="21"/>
              </w:rPr>
              <w:t>包括自治州、盟、省辖市、直辖市辖区(县)</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14" w:type="dxa"/>
            <w:vAlign w:val="center"/>
          </w:tcPr>
          <w:p>
            <w:pPr>
              <w:pStyle w:val="31"/>
              <w:ind w:firstLine="29" w:firstLineChars="14"/>
              <w:rPr>
                <w:rFonts w:ascii="Times New Roman"/>
                <w:szCs w:val="21"/>
              </w:rPr>
            </w:pPr>
            <w:r>
              <w:rPr>
                <w:rFonts w:ascii="Times New Roman"/>
                <w:szCs w:val="21"/>
              </w:rPr>
              <w:t>50</w:t>
            </w:r>
          </w:p>
        </w:tc>
        <w:tc>
          <w:tcPr>
            <w:tcW w:w="2035" w:type="dxa"/>
            <w:vAlign w:val="center"/>
          </w:tcPr>
          <w:p>
            <w:pPr>
              <w:pStyle w:val="31"/>
              <w:ind w:left="2" w:hanging="2" w:hangingChars="1"/>
              <w:rPr>
                <w:rFonts w:ascii="Times New Roman"/>
                <w:szCs w:val="21"/>
              </w:rPr>
            </w:pPr>
            <w:r>
              <w:rPr>
                <w:rFonts w:ascii="Times New Roman"/>
                <w:szCs w:val="21"/>
              </w:rPr>
              <w:t>县</w:t>
            </w:r>
          </w:p>
        </w:tc>
        <w:tc>
          <w:tcPr>
            <w:tcW w:w="5929" w:type="dxa"/>
            <w:vAlign w:val="center"/>
          </w:tcPr>
          <w:p>
            <w:pPr>
              <w:pStyle w:val="31"/>
              <w:ind w:firstLine="0" w:firstLineChars="0"/>
              <w:rPr>
                <w:rFonts w:ascii="Times New Roman"/>
                <w:szCs w:val="21"/>
              </w:rPr>
            </w:pPr>
            <w:r>
              <w:rPr>
                <w:rFonts w:ascii="Times New Roman"/>
                <w:szCs w:val="21"/>
              </w:rPr>
              <w:t>包括地(州、盟)辖市、省辖市辖区、自治县(旗)、旗、县级市</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3" w:hRule="atLeast"/>
        </w:trPr>
        <w:tc>
          <w:tcPr>
            <w:tcW w:w="914" w:type="dxa"/>
            <w:vAlign w:val="center"/>
          </w:tcPr>
          <w:p>
            <w:pPr>
              <w:pStyle w:val="31"/>
              <w:ind w:firstLine="29" w:firstLineChars="14"/>
              <w:rPr>
                <w:rFonts w:ascii="Times New Roman"/>
                <w:szCs w:val="21"/>
              </w:rPr>
            </w:pPr>
            <w:r>
              <w:rPr>
                <w:rFonts w:ascii="Times New Roman"/>
                <w:szCs w:val="21"/>
              </w:rPr>
              <w:t>60</w:t>
            </w:r>
          </w:p>
        </w:tc>
        <w:tc>
          <w:tcPr>
            <w:tcW w:w="2035" w:type="dxa"/>
            <w:vAlign w:val="center"/>
          </w:tcPr>
          <w:p>
            <w:pPr>
              <w:pStyle w:val="31"/>
              <w:ind w:left="2" w:hanging="2" w:hangingChars="1"/>
              <w:rPr>
                <w:rFonts w:ascii="Times New Roman"/>
                <w:szCs w:val="21"/>
              </w:rPr>
            </w:pPr>
            <w:r>
              <w:rPr>
                <w:rFonts w:ascii="Times New Roman"/>
                <w:szCs w:val="21"/>
              </w:rPr>
              <w:t>街道、镇、乡</w:t>
            </w:r>
          </w:p>
        </w:tc>
        <w:tc>
          <w:tcPr>
            <w:tcW w:w="5929" w:type="dxa"/>
            <w:vAlign w:val="center"/>
          </w:tcPr>
          <w:p>
            <w:pPr>
              <w:pStyle w:val="31"/>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5" w:hRule="atLeast"/>
        </w:trPr>
        <w:tc>
          <w:tcPr>
            <w:tcW w:w="914" w:type="dxa"/>
            <w:vAlign w:val="center"/>
          </w:tcPr>
          <w:p>
            <w:pPr>
              <w:pStyle w:val="31"/>
              <w:ind w:firstLine="29" w:firstLineChars="14"/>
              <w:rPr>
                <w:rFonts w:ascii="Times New Roman"/>
                <w:szCs w:val="21"/>
              </w:rPr>
            </w:pPr>
            <w:r>
              <w:rPr>
                <w:rFonts w:ascii="Times New Roman"/>
                <w:szCs w:val="21"/>
              </w:rPr>
              <w:t>70</w:t>
            </w:r>
          </w:p>
        </w:tc>
        <w:tc>
          <w:tcPr>
            <w:tcW w:w="2035" w:type="dxa"/>
            <w:vAlign w:val="center"/>
          </w:tcPr>
          <w:p>
            <w:pPr>
              <w:pStyle w:val="31"/>
              <w:ind w:left="2" w:hanging="2" w:hangingChars="1"/>
              <w:rPr>
                <w:rFonts w:ascii="Times New Roman"/>
                <w:szCs w:val="21"/>
              </w:rPr>
            </w:pPr>
            <w:r>
              <w:rPr>
                <w:rFonts w:ascii="Times New Roman"/>
                <w:szCs w:val="21"/>
              </w:rPr>
              <w:t>居民、村民委员会</w:t>
            </w:r>
          </w:p>
        </w:tc>
        <w:tc>
          <w:tcPr>
            <w:tcW w:w="5929" w:type="dxa"/>
            <w:vAlign w:val="center"/>
          </w:tcPr>
          <w:p>
            <w:pPr>
              <w:pStyle w:val="31"/>
              <w:ind w:firstLine="16" w:firstLineChars="8"/>
              <w:rPr>
                <w:rFonts w:ascii="Times New Roman"/>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914" w:type="dxa"/>
            <w:tcBorders>
              <w:bottom w:val="single" w:color="auto" w:sz="8" w:space="0"/>
            </w:tcBorders>
            <w:vAlign w:val="center"/>
          </w:tcPr>
          <w:p>
            <w:pPr>
              <w:pStyle w:val="31"/>
              <w:ind w:firstLine="29" w:firstLineChars="14"/>
              <w:rPr>
                <w:rFonts w:ascii="Times New Roman"/>
                <w:szCs w:val="21"/>
              </w:rPr>
            </w:pPr>
            <w:r>
              <w:rPr>
                <w:rFonts w:ascii="Times New Roman"/>
                <w:szCs w:val="21"/>
              </w:rPr>
              <w:t>90</w:t>
            </w:r>
          </w:p>
        </w:tc>
        <w:tc>
          <w:tcPr>
            <w:tcW w:w="2035" w:type="dxa"/>
            <w:tcBorders>
              <w:bottom w:val="single" w:color="auto" w:sz="8" w:space="0"/>
            </w:tcBorders>
            <w:vAlign w:val="center"/>
          </w:tcPr>
          <w:p>
            <w:pPr>
              <w:pStyle w:val="31"/>
              <w:ind w:left="2" w:hanging="2" w:hangingChars="1"/>
              <w:rPr>
                <w:rFonts w:ascii="Times New Roman"/>
                <w:szCs w:val="21"/>
              </w:rPr>
            </w:pPr>
            <w:r>
              <w:rPr>
                <w:rFonts w:ascii="Times New Roman"/>
                <w:szCs w:val="21"/>
              </w:rPr>
              <w:t>其他</w:t>
            </w:r>
          </w:p>
        </w:tc>
        <w:tc>
          <w:tcPr>
            <w:tcW w:w="5929" w:type="dxa"/>
            <w:tcBorders>
              <w:bottom w:val="single" w:color="auto" w:sz="8" w:space="0"/>
            </w:tcBorders>
            <w:vAlign w:val="center"/>
          </w:tcPr>
          <w:p>
            <w:pPr>
              <w:pStyle w:val="31"/>
              <w:ind w:firstLine="16" w:firstLineChars="8"/>
              <w:rPr>
                <w:rFonts w:ascii="Times New Roman"/>
                <w:szCs w:val="21"/>
              </w:rPr>
            </w:pPr>
          </w:p>
        </w:tc>
      </w:tr>
    </w:tbl>
    <w:p>
      <w:pPr>
        <w:pStyle w:val="22"/>
        <w:adjustRightInd w:val="0"/>
        <w:snapToGrid w:val="0"/>
        <w:spacing w:after="0" w:line="312" w:lineRule="auto"/>
        <w:rPr>
          <w:rFonts w:ascii="宋体" w:hAnsi="宋体" w:eastAsia="宋体"/>
          <w:sz w:val="30"/>
          <w:szCs w:val="30"/>
        </w:rPr>
      </w:pPr>
    </w:p>
    <w:p>
      <w:pPr>
        <w:pStyle w:val="22"/>
        <w:adjustRightInd w:val="0"/>
        <w:snapToGrid w:val="0"/>
        <w:spacing w:after="0" w:line="360" w:lineRule="auto"/>
        <w:rPr>
          <w:rFonts w:ascii="仿宋" w:hAnsi="仿宋" w:eastAsia="仿宋" w:cs="仿宋"/>
          <w:sz w:val="30"/>
          <w:szCs w:val="30"/>
        </w:rPr>
      </w:pPr>
      <w:r>
        <w:rPr>
          <w:rFonts w:hint="eastAsia" w:ascii="仿宋" w:hAnsi="仿宋" w:eastAsia="仿宋" w:cs="仿宋"/>
          <w:b/>
          <w:bCs/>
          <w:color w:val="C00000"/>
          <w:sz w:val="30"/>
          <w:szCs w:val="30"/>
        </w:rPr>
        <w:t>出现特殊情形时，按以下原则处理：</w:t>
      </w:r>
    </w:p>
    <w:p>
      <w:pPr>
        <w:pStyle w:val="22"/>
        <w:numPr>
          <w:ilvl w:val="0"/>
          <w:numId w:val="1"/>
        </w:numPr>
        <w:adjustRightInd w:val="0"/>
        <w:snapToGrid w:val="0"/>
        <w:spacing w:after="0" w:line="360" w:lineRule="auto"/>
        <w:rPr>
          <w:rFonts w:ascii="仿宋" w:hAnsi="仿宋" w:eastAsia="仿宋" w:cs="仿宋"/>
          <w:sz w:val="30"/>
          <w:szCs w:val="30"/>
        </w:rPr>
      </w:pPr>
      <w:r>
        <w:rPr>
          <w:rFonts w:hint="eastAsia" w:ascii="仿宋" w:hAnsi="仿宋" w:eastAsia="仿宋" w:cs="仿宋"/>
          <w:sz w:val="30"/>
          <w:szCs w:val="30"/>
        </w:rPr>
        <w:t>中央与地方双重领导的单位，以领导为主的一方来划分。</w:t>
      </w:r>
    </w:p>
    <w:p>
      <w:pPr>
        <w:pStyle w:val="22"/>
        <w:numPr>
          <w:ilvl w:val="0"/>
          <w:numId w:val="1"/>
        </w:numPr>
        <w:adjustRightInd w:val="0"/>
        <w:snapToGrid w:val="0"/>
        <w:spacing w:after="0" w:line="360" w:lineRule="auto"/>
        <w:rPr>
          <w:rFonts w:ascii="仿宋" w:hAnsi="仿宋" w:eastAsia="仿宋" w:cs="仿宋"/>
          <w:sz w:val="30"/>
          <w:szCs w:val="30"/>
        </w:rPr>
      </w:pPr>
      <w:r>
        <w:rPr>
          <w:rFonts w:hint="eastAsia" w:ascii="仿宋" w:hAnsi="仿宋" w:eastAsia="仿宋" w:cs="仿宋"/>
          <w:sz w:val="30"/>
          <w:szCs w:val="30"/>
        </w:rPr>
        <w:t>隶属于“中央”的单位兴办的集体企业，隶属关系填“其他”。</w:t>
      </w:r>
    </w:p>
    <w:p>
      <w:pPr>
        <w:pStyle w:val="22"/>
        <w:numPr>
          <w:ilvl w:val="0"/>
          <w:numId w:val="1"/>
        </w:numPr>
        <w:adjustRightInd w:val="0"/>
        <w:snapToGrid w:val="0"/>
        <w:spacing w:after="0" w:line="360" w:lineRule="auto"/>
        <w:rPr>
          <w:rFonts w:ascii="仿宋" w:hAnsi="仿宋" w:eastAsia="仿宋" w:cs="仿宋"/>
          <w:sz w:val="30"/>
          <w:szCs w:val="30"/>
        </w:rPr>
      </w:pPr>
      <w:r>
        <w:rPr>
          <w:rFonts w:hint="eastAsia" w:ascii="仿宋" w:hAnsi="仿宋" w:eastAsia="仿宋" w:cs="仿宋"/>
          <w:sz w:val="30"/>
          <w:szCs w:val="30"/>
        </w:rPr>
        <w:t>省属以下的企业办的企业，其隶属关系与企业本身的隶属关系一致。</w:t>
      </w:r>
    </w:p>
    <w:p>
      <w:pPr>
        <w:pStyle w:val="22"/>
        <w:numPr>
          <w:ilvl w:val="0"/>
          <w:numId w:val="1"/>
        </w:numPr>
        <w:adjustRightInd w:val="0"/>
        <w:snapToGrid w:val="0"/>
        <w:spacing w:after="0" w:line="360" w:lineRule="auto"/>
        <w:rPr>
          <w:rFonts w:ascii="仿宋" w:hAnsi="仿宋" w:eastAsia="仿宋" w:cs="仿宋"/>
          <w:sz w:val="30"/>
          <w:szCs w:val="30"/>
        </w:rPr>
      </w:pPr>
      <w:r>
        <w:rPr>
          <w:rFonts w:hint="eastAsia" w:ascii="仿宋" w:hAnsi="仿宋" w:eastAsia="仿宋" w:cs="仿宋"/>
          <w:sz w:val="30"/>
          <w:szCs w:val="30"/>
        </w:rPr>
        <w:t xml:space="preserve">无主管部门的单位、本省在外省的办事机构所开办的第三产业单位填“其他”。 </w:t>
      </w:r>
    </w:p>
    <w:p>
      <w:pPr>
        <w:pStyle w:val="22"/>
        <w:numPr>
          <w:ilvl w:val="0"/>
          <w:numId w:val="1"/>
        </w:numPr>
        <w:tabs>
          <w:tab w:val="left" w:pos="0"/>
        </w:tabs>
        <w:adjustRightInd w:val="0"/>
        <w:snapToGrid w:val="0"/>
        <w:spacing w:after="0" w:line="360" w:lineRule="auto"/>
        <w:rPr>
          <w:rFonts w:ascii="仿宋" w:hAnsi="仿宋" w:eastAsia="仿宋" w:cs="仿宋"/>
          <w:sz w:val="30"/>
          <w:szCs w:val="30"/>
        </w:rPr>
      </w:pPr>
      <w:r>
        <w:rPr>
          <w:rFonts w:hint="eastAsia" w:ascii="仿宋" w:hAnsi="仿宋" w:eastAsia="仿宋" w:cs="仿宋"/>
          <w:sz w:val="30"/>
          <w:szCs w:val="30"/>
        </w:rPr>
        <w:t>非国有单位填写“其他”，即“90”。</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（七）行业类别</w:t>
      </w:r>
    </w:p>
    <w:p>
      <w:pPr>
        <w:pStyle w:val="28"/>
        <w:adjustRightInd w:val="0"/>
        <w:snapToGrid w:val="0"/>
        <w:spacing w:after="0"/>
        <w:ind w:firstLine="600"/>
        <w:rPr>
          <w:rFonts w:ascii="仿宋" w:hAnsi="仿宋" w:eastAsia="仿宋" w:cs="仿宋"/>
          <w:bCs/>
          <w:sz w:val="30"/>
          <w:szCs w:val="30"/>
        </w:rPr>
      </w:pPr>
      <w:r>
        <w:rPr>
          <w:rFonts w:hint="eastAsia" w:ascii="仿宋" w:hAnsi="仿宋" w:eastAsia="仿宋" w:cs="仿宋"/>
          <w:bCs/>
          <w:sz w:val="30"/>
          <w:szCs w:val="30"/>
        </w:rPr>
        <w:t>是根据企业从事的社会经济活动性质对各类单位进行的分类。根据各单位的主要业务活动（或主要产品名称），对照国家统计局印发《关于执行新国民经济行业分类国家标准的通知》（国统字〔2017〕142号）确定。</w:t>
      </w:r>
      <w:r>
        <w:rPr>
          <w:rFonts w:hint="eastAsia" w:ascii="仿宋" w:hAnsi="仿宋" w:eastAsia="仿宋" w:cs="仿宋"/>
          <w:b/>
          <w:color w:val="C00000"/>
          <w:sz w:val="30"/>
          <w:szCs w:val="30"/>
        </w:rPr>
        <w:t>系统对样本企业已经配置了</w:t>
      </w:r>
      <w:r>
        <w:rPr>
          <w:rFonts w:ascii="仿宋" w:hAnsi="仿宋" w:eastAsia="仿宋" w:cs="仿宋"/>
          <w:b/>
          <w:color w:val="C00000"/>
          <w:sz w:val="30"/>
          <w:szCs w:val="30"/>
        </w:rPr>
        <w:t>5</w:t>
      </w:r>
      <w:r>
        <w:rPr>
          <w:rFonts w:hint="eastAsia" w:ascii="仿宋" w:hAnsi="仿宋" w:eastAsia="仿宋" w:cs="仿宋"/>
          <w:b/>
          <w:color w:val="C00000"/>
          <w:sz w:val="30"/>
          <w:szCs w:val="30"/>
        </w:rPr>
        <w:t>位（</w:t>
      </w:r>
      <w:r>
        <w:rPr>
          <w:rFonts w:ascii="仿宋" w:hAnsi="仿宋" w:eastAsia="仿宋" w:cs="仿宋"/>
          <w:b/>
          <w:color w:val="C00000"/>
          <w:sz w:val="30"/>
          <w:szCs w:val="30"/>
        </w:rPr>
        <w:t>1位字母加4</w:t>
      </w:r>
      <w:r>
        <w:rPr>
          <w:rFonts w:hint="eastAsia" w:ascii="仿宋" w:hAnsi="仿宋" w:eastAsia="仿宋" w:cs="仿宋"/>
          <w:b/>
          <w:color w:val="C00000"/>
          <w:sz w:val="30"/>
          <w:szCs w:val="30"/>
        </w:rPr>
        <w:t>位数字）行业小类代码，调查中发现与企业实际从事主营业务不符的，可据实进行调整。</w:t>
      </w:r>
      <w:r>
        <w:rPr>
          <w:rFonts w:hint="eastAsia" w:ascii="仿宋" w:hAnsi="仿宋" w:eastAsia="仿宋" w:cs="仿宋"/>
          <w:bCs/>
          <w:sz w:val="30"/>
          <w:szCs w:val="30"/>
        </w:rPr>
        <w:t>调查中需要补充或替换样本的，应当在软件中选至最底层，填报到行业小类。</w:t>
      </w:r>
    </w:p>
    <w:p>
      <w:pPr>
        <w:pStyle w:val="28"/>
        <w:adjustRightInd w:val="0"/>
        <w:snapToGrid w:val="0"/>
        <w:spacing w:after="0"/>
        <w:ind w:firstLine="600"/>
        <w:rPr>
          <w:rFonts w:ascii="仿宋" w:hAnsi="仿宋" w:eastAsia="仿宋" w:cs="仿宋"/>
          <w:sz w:val="30"/>
          <w:szCs w:val="30"/>
        </w:rPr>
      </w:pPr>
      <w:r>
        <w:rPr>
          <w:rFonts w:hint="eastAsia" w:ascii="仿宋" w:hAnsi="仿宋" w:eastAsia="仿宋" w:cs="仿宋"/>
          <w:sz w:val="30"/>
          <w:szCs w:val="30"/>
        </w:rPr>
        <w:t>军工企业兼生产民品的，即使目前企业的民品产值大于军工产值，但军工企业的生产方向并未改变，按军工生产的性质划分行业并填写行业代码。</w:t>
      </w:r>
    </w:p>
    <w:p>
      <w:pPr>
        <w:adjustRightInd w:val="0"/>
        <w:snapToGrid w:val="0"/>
        <w:spacing w:line="360" w:lineRule="auto"/>
        <w:ind w:firstLine="560"/>
        <w:rPr>
          <w:rFonts w:ascii="仿宋" w:hAnsi="仿宋" w:eastAsia="仿宋" w:cs="仿宋"/>
          <w:sz w:val="30"/>
          <w:szCs w:val="30"/>
        </w:rPr>
      </w:pPr>
      <w:r>
        <w:rPr>
          <w:rFonts w:hint="eastAsia" w:ascii="仿宋" w:hAnsi="仿宋" w:eastAsia="仿宋" w:cs="仿宋"/>
          <w:b/>
          <w:bCs/>
          <w:color w:val="C00000"/>
          <w:sz w:val="30"/>
          <w:szCs w:val="30"/>
        </w:rPr>
        <w:t>填报要求：必填，在系统中勾选。</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（八）企业规模</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指企业生产经营的规模，主要以从业人员人数、营业收入、资产总额等指标或替代指标为划分依据。</w:t>
      </w:r>
    </w:p>
    <w:p>
      <w:pPr>
        <w:pStyle w:val="28"/>
        <w:adjustRightInd w:val="0"/>
        <w:snapToGrid w:val="0"/>
        <w:spacing w:after="0"/>
        <w:ind w:firstLine="602"/>
        <w:rPr>
          <w:rFonts w:ascii="仿宋" w:hAnsi="仿宋" w:eastAsia="仿宋" w:cs="仿宋"/>
          <w:b/>
          <w:bCs/>
          <w:color w:val="FF0000"/>
          <w:sz w:val="30"/>
          <w:szCs w:val="30"/>
        </w:rPr>
      </w:pPr>
      <w:r>
        <w:rPr>
          <w:rFonts w:hint="eastAsia" w:ascii="仿宋" w:hAnsi="仿宋" w:eastAsia="仿宋" w:cs="仿宋"/>
          <w:b/>
          <w:bCs/>
          <w:color w:val="C00000"/>
          <w:sz w:val="30"/>
          <w:szCs w:val="30"/>
        </w:rPr>
        <w:t>填报要求：除 G53（铁路运输业）、P83（教育）、Q84（卫生）三个行业不填，其余行业必填。</w:t>
      </w:r>
    </w:p>
    <w:p>
      <w:pPr>
        <w:pStyle w:val="22"/>
        <w:adjustRightInd w:val="0"/>
        <w:snapToGrid w:val="0"/>
        <w:spacing w:after="0" w:line="360" w:lineRule="auto"/>
        <w:ind w:firstLine="600" w:firstLineChars="200"/>
        <w:rPr>
          <w:rFonts w:ascii="仿宋" w:hAnsi="仿宋" w:eastAsia="仿宋" w:cs="仿宋"/>
          <w:b/>
          <w:bCs/>
          <w:sz w:val="30"/>
          <w:szCs w:val="30"/>
        </w:rPr>
      </w:pPr>
      <w:r>
        <w:rPr>
          <w:rFonts w:hint="eastAsia" w:ascii="仿宋" w:hAnsi="仿宋" w:eastAsia="仿宋" w:cs="仿宋"/>
          <w:sz w:val="30"/>
          <w:szCs w:val="30"/>
        </w:rPr>
        <w:t>划分标准按照国家统计局关于印发《统计上大中小微型企业划分办法（2017）》和《关于印发金融业企业划型标准规定的通知》（银发〔2015〕309）号执行。</w:t>
      </w:r>
    </w:p>
    <w:p>
      <w:pPr>
        <w:pStyle w:val="28"/>
        <w:adjustRightInd w:val="0"/>
        <w:snapToGrid w:val="0"/>
        <w:spacing w:after="0"/>
        <w:ind w:firstLine="600"/>
        <w:rPr>
          <w:rFonts w:ascii="仿宋" w:hAnsi="仿宋" w:eastAsia="仿宋" w:cs="仿宋"/>
          <w:sz w:val="30"/>
          <w:szCs w:val="30"/>
        </w:rPr>
      </w:pPr>
      <w:r>
        <w:rPr>
          <w:rFonts w:hint="eastAsia" w:ascii="仿宋" w:hAnsi="仿宋" w:eastAsia="仿宋" w:cs="仿宋"/>
          <w:sz w:val="30"/>
          <w:szCs w:val="30"/>
        </w:rPr>
        <w:t>1.上述两个《办法》中未明确标准的3个行业此次调查时暂不填写规模，包括G53（铁路运输业）、P83（教育）、Q84（卫生）。</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2.按照《统计上大中小微型企业划分办法（2017）》（见下表）填写企业规模的：</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一是大型、中型和小型企业须</w:t>
      </w:r>
      <w:r>
        <w:rPr>
          <w:rFonts w:hint="eastAsia" w:ascii="仿宋" w:hAnsi="仿宋" w:eastAsia="仿宋" w:cs="仿宋"/>
          <w:b/>
          <w:bCs/>
          <w:color w:val="C00000"/>
          <w:sz w:val="30"/>
          <w:szCs w:val="30"/>
        </w:rPr>
        <w:t>同时满足</w:t>
      </w:r>
      <w:r>
        <w:rPr>
          <w:rFonts w:hint="eastAsia" w:ascii="仿宋" w:hAnsi="仿宋" w:eastAsia="仿宋" w:cs="仿宋"/>
          <w:sz w:val="30"/>
          <w:szCs w:val="30"/>
        </w:rPr>
        <w:t>所列指标的下限，否则下划一档；微型企业</w:t>
      </w:r>
      <w:r>
        <w:rPr>
          <w:rFonts w:hint="eastAsia" w:ascii="仿宋" w:hAnsi="仿宋" w:eastAsia="仿宋" w:cs="仿宋"/>
          <w:b/>
          <w:bCs/>
          <w:color w:val="C00000"/>
          <w:sz w:val="30"/>
          <w:szCs w:val="30"/>
        </w:rPr>
        <w:t>只须满足</w:t>
      </w:r>
      <w:r>
        <w:rPr>
          <w:rFonts w:hint="eastAsia" w:ascii="仿宋" w:hAnsi="仿宋" w:eastAsia="仿宋" w:cs="仿宋"/>
          <w:sz w:val="30"/>
          <w:szCs w:val="30"/>
        </w:rPr>
        <w:t>所列指标中的一项即可。</w:t>
      </w:r>
    </w:p>
    <w:p>
      <w:pPr>
        <w:pStyle w:val="22"/>
        <w:adjustRightInd w:val="0"/>
        <w:snapToGrid w:val="0"/>
        <w:spacing w:after="0" w:line="360" w:lineRule="auto"/>
        <w:ind w:firstLine="600" w:firstLineChars="200"/>
        <w:rPr>
          <w:rFonts w:ascii="Times New Roman"/>
        </w:rPr>
      </w:pPr>
      <w:r>
        <w:rPr>
          <w:rFonts w:hint="eastAsia" w:ascii="仿宋" w:hAnsi="仿宋" w:eastAsia="仿宋" w:cs="仿宋"/>
          <w:sz w:val="30"/>
          <w:szCs w:val="30"/>
        </w:rPr>
        <w:t>二是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按主营业务收入额填写；限额以下批发与零售业企业采用商品销售额代替；限额以下住宿与餐饮业企业采用营业额代替；农、林、牧、渔业企业采用营业总收入代替；其他未设置主营业务收入的行业或企业，采用营业收入代替。（3）资产总额，采用资产总计代替。</w:t>
      </w:r>
    </w:p>
    <w:p>
      <w:pPr>
        <w:pStyle w:val="22"/>
        <w:adjustRightInd w:val="0"/>
        <w:snapToGrid w:val="0"/>
        <w:spacing w:after="0" w:line="360" w:lineRule="auto"/>
        <w:jc w:val="center"/>
        <w:rPr>
          <w:rFonts w:ascii="宋体" w:hAnsi="宋体" w:eastAsia="宋体"/>
          <w:b/>
          <w:sz w:val="30"/>
          <w:szCs w:val="30"/>
        </w:rPr>
      </w:pPr>
      <w:r>
        <w:rPr>
          <w:rFonts w:ascii="宋体" w:hAnsi="宋体" w:eastAsia="宋体"/>
          <w:b/>
          <w:sz w:val="30"/>
          <w:szCs w:val="30"/>
        </w:rPr>
        <w:t>统计上大中小微企业划分标准</w:t>
      </w:r>
      <w:r>
        <w:rPr>
          <w:rFonts w:hint="eastAsia" w:ascii="宋体" w:hAnsi="宋体" w:eastAsia="宋体"/>
          <w:b/>
          <w:sz w:val="30"/>
          <w:szCs w:val="30"/>
        </w:rPr>
        <w:t>（2017）</w:t>
      </w:r>
    </w:p>
    <w:p>
      <w:pPr>
        <w:pStyle w:val="28"/>
        <w:adjustRightInd w:val="0"/>
        <w:snapToGrid w:val="0"/>
        <w:spacing w:after="0"/>
        <w:ind w:firstLine="600"/>
        <w:rPr>
          <w:rFonts w:ascii="仿宋" w:hAnsi="仿宋" w:eastAsia="仿宋" w:cs="仿宋"/>
          <w:sz w:val="30"/>
          <w:szCs w:val="30"/>
        </w:rPr>
      </w:pPr>
      <w:r>
        <w:rPr>
          <w:rFonts w:hint="eastAsia" w:ascii="仿宋" w:hAnsi="仿宋" w:eastAsia="仿宋" w:cs="仿宋"/>
          <w:sz w:val="30"/>
          <w:szCs w:val="30"/>
        </w:rPr>
        <w:t>涉及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tbl>
      <w:tblPr>
        <w:tblStyle w:val="17"/>
        <w:tblW w:w="9942" w:type="dxa"/>
        <w:jc w:val="center"/>
        <w:tblLayout w:type="fixed"/>
        <w:tblCellMar>
          <w:top w:w="0" w:type="dxa"/>
          <w:left w:w="108" w:type="dxa"/>
          <w:bottom w:w="0" w:type="dxa"/>
          <w:right w:w="108" w:type="dxa"/>
        </w:tblCellMar>
      </w:tblPr>
      <w:tblGrid>
        <w:gridCol w:w="2113"/>
        <w:gridCol w:w="1369"/>
        <w:gridCol w:w="1104"/>
        <w:gridCol w:w="1125"/>
        <w:gridCol w:w="1701"/>
        <w:gridCol w:w="1426"/>
        <w:gridCol w:w="1104"/>
      </w:tblGrid>
      <w:tr>
        <w:tblPrEx>
          <w:tblCellMar>
            <w:top w:w="0" w:type="dxa"/>
            <w:left w:w="108" w:type="dxa"/>
            <w:bottom w:w="0" w:type="dxa"/>
            <w:right w:w="108" w:type="dxa"/>
          </w:tblCellMar>
        </w:tblPrEx>
        <w:trPr>
          <w:trHeight w:val="342" w:hRule="exact"/>
          <w:jc w:val="center"/>
        </w:trPr>
        <w:tc>
          <w:tcPr>
            <w:tcW w:w="2113"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行业名称</w:t>
            </w:r>
          </w:p>
        </w:tc>
        <w:tc>
          <w:tcPr>
            <w:tcW w:w="1369"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指标名称</w:t>
            </w:r>
          </w:p>
        </w:tc>
        <w:tc>
          <w:tcPr>
            <w:tcW w:w="1104" w:type="dxa"/>
            <w:tcBorders>
              <w:top w:val="single" w:color="auto" w:sz="4" w:space="0"/>
              <w:bottom w:val="single" w:color="auto" w:sz="4" w:space="0"/>
              <w:right w:val="single" w:color="auto" w:sz="4" w:space="0"/>
            </w:tcBorders>
          </w:tcPr>
          <w:p>
            <w:pPr>
              <w:adjustRightInd w:val="0"/>
              <w:snapToGrid w:val="0"/>
              <w:jc w:val="center"/>
              <w:rPr>
                <w:rFonts w:ascii="宋体" w:hAnsi="宋体"/>
                <w:b/>
                <w:sz w:val="18"/>
              </w:rPr>
            </w:pPr>
            <w:r>
              <w:rPr>
                <w:rFonts w:hint="eastAsia" w:ascii="宋体" w:hAnsi="宋体"/>
                <w:b/>
                <w:sz w:val="18"/>
              </w:rPr>
              <w:t>计量</w:t>
            </w:r>
            <w:r>
              <w:rPr>
                <w:rFonts w:hint="eastAsia" w:ascii="宋体" w:hAnsi="宋体" w:cs="宋体"/>
                <w:b/>
                <w:bCs/>
                <w:sz w:val="18"/>
                <w:szCs w:val="18"/>
              </w:rPr>
              <w:t>单位</w:t>
            </w:r>
          </w:p>
        </w:tc>
        <w:tc>
          <w:tcPr>
            <w:tcW w:w="1125"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大型</w:t>
            </w:r>
          </w:p>
        </w:tc>
        <w:tc>
          <w:tcPr>
            <w:tcW w:w="1701"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中型</w:t>
            </w:r>
          </w:p>
        </w:tc>
        <w:tc>
          <w:tcPr>
            <w:tcW w:w="1426" w:type="dxa"/>
            <w:tcBorders>
              <w:top w:val="single" w:color="auto" w:sz="4" w:space="0"/>
              <w:left w:val="nil"/>
              <w:bottom w:val="single" w:color="auto" w:sz="4" w:space="0"/>
              <w:right w:val="single" w:color="auto" w:sz="4" w:space="0"/>
            </w:tcBorders>
          </w:tcPr>
          <w:p>
            <w:pPr>
              <w:adjustRightInd w:val="0"/>
              <w:snapToGrid w:val="0"/>
              <w:ind w:firstLine="361"/>
              <w:jc w:val="center"/>
              <w:rPr>
                <w:rFonts w:ascii="宋体" w:hAnsi="宋体"/>
                <w:b/>
                <w:sz w:val="18"/>
              </w:rPr>
            </w:pPr>
            <w:r>
              <w:rPr>
                <w:rFonts w:hint="eastAsia" w:ascii="宋体" w:hAnsi="宋体"/>
                <w:b/>
                <w:sz w:val="18"/>
              </w:rPr>
              <w:t>小型</w:t>
            </w:r>
          </w:p>
        </w:tc>
        <w:tc>
          <w:tcPr>
            <w:tcW w:w="1104" w:type="dxa"/>
            <w:tcBorders>
              <w:top w:val="single" w:color="auto" w:sz="4" w:space="0"/>
              <w:left w:val="nil"/>
              <w:bottom w:val="single" w:color="auto" w:sz="4" w:space="0"/>
            </w:tcBorders>
          </w:tcPr>
          <w:p>
            <w:pPr>
              <w:adjustRightInd w:val="0"/>
              <w:snapToGrid w:val="0"/>
              <w:ind w:firstLine="361"/>
              <w:jc w:val="center"/>
              <w:rPr>
                <w:rFonts w:ascii="宋体" w:hAnsi="宋体"/>
                <w:b/>
                <w:sz w:val="18"/>
              </w:rPr>
            </w:pPr>
            <w:r>
              <w:rPr>
                <w:rFonts w:hint="eastAsia" w:ascii="宋体" w:hAnsi="宋体"/>
                <w:b/>
                <w:sz w:val="18"/>
              </w:rPr>
              <w:t>微型</w:t>
            </w:r>
          </w:p>
        </w:tc>
      </w:tr>
      <w:tr>
        <w:tblPrEx>
          <w:tblCellMar>
            <w:top w:w="0" w:type="dxa"/>
            <w:left w:w="108" w:type="dxa"/>
            <w:bottom w:w="0" w:type="dxa"/>
            <w:right w:w="108" w:type="dxa"/>
          </w:tblCellMar>
        </w:tblPrEx>
        <w:trPr>
          <w:trHeight w:val="397" w:hRule="exact"/>
          <w:jc w:val="center"/>
        </w:trPr>
        <w:tc>
          <w:tcPr>
            <w:tcW w:w="2113" w:type="dxa"/>
            <w:tcBorders>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cs="宋体"/>
                <w:sz w:val="18"/>
                <w:szCs w:val="18"/>
              </w:rPr>
              <w:t>农、林、</w:t>
            </w:r>
            <w:r>
              <w:rPr>
                <w:rFonts w:hint="eastAsia" w:ascii="宋体" w:hAnsi="宋体"/>
                <w:sz w:val="18"/>
                <w:szCs w:val="18"/>
              </w:rPr>
              <w:t>牧</w:t>
            </w:r>
            <w:r>
              <w:rPr>
                <w:rFonts w:hint="eastAsia" w:ascii="宋体" w:hAnsi="宋体" w:cs="宋体"/>
                <w:sz w:val="18"/>
                <w:szCs w:val="18"/>
              </w:rPr>
              <w:t>、</w:t>
            </w:r>
            <w:r>
              <w:rPr>
                <w:rFonts w:hint="eastAsia" w:ascii="宋体" w:hAnsi="宋体"/>
                <w:sz w:val="18"/>
                <w:szCs w:val="18"/>
              </w:rPr>
              <w:t>渔业</w:t>
            </w: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w:t>
            </w:r>
            <w:r>
              <w:rPr>
                <w:rFonts w:hint="eastAsia" w:ascii="宋体" w:hAnsi="宋体" w:cs="宋体"/>
                <w:sz w:val="18"/>
                <w:szCs w:val="18"/>
              </w:rPr>
              <w:t>(</w:t>
            </w:r>
            <w:r>
              <w:rPr>
                <w:rFonts w:ascii="宋体" w:hAnsi="宋体"/>
                <w:sz w:val="18"/>
                <w:szCs w:val="18"/>
              </w:rPr>
              <w:t>Y</w:t>
            </w:r>
            <w:r>
              <w:rPr>
                <w:rFonts w:hint="eastAsia" w:ascii="宋体" w:hAnsi="宋体" w:cs="宋体"/>
                <w:sz w:val="18"/>
                <w:szCs w:val="18"/>
              </w:rPr>
              <w:t>)</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Y≥20000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500≤Y＜20000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50≤Y＜500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工业</w:t>
            </w:r>
            <w:r>
              <w:rPr>
                <w:sz w:val="18"/>
                <w:szCs w:val="18"/>
              </w:rPr>
              <w:t>（包括采矿业</w:t>
            </w:r>
            <w:r>
              <w:rPr>
                <w:rFonts w:hint="eastAsia"/>
                <w:sz w:val="18"/>
                <w:szCs w:val="18"/>
              </w:rPr>
              <w:t>，</w:t>
            </w:r>
            <w:r>
              <w:rPr>
                <w:sz w:val="18"/>
                <w:szCs w:val="18"/>
              </w:rPr>
              <w:t>制造业，电力、热力、燃气及水生产和供应业）</w:t>
            </w:r>
          </w:p>
        </w:tc>
        <w:tc>
          <w:tcPr>
            <w:tcW w:w="1369" w:type="dxa"/>
            <w:tcBorders>
              <w:top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top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top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X≥1000</w:t>
            </w:r>
          </w:p>
        </w:tc>
        <w:tc>
          <w:tcPr>
            <w:tcW w:w="1701" w:type="dxa"/>
            <w:tcBorders>
              <w:top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300≤X＜1000</w:t>
            </w:r>
          </w:p>
        </w:tc>
        <w:tc>
          <w:tcPr>
            <w:tcW w:w="1426" w:type="dxa"/>
            <w:tcBorders>
              <w:top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20≤X＜300</w:t>
            </w:r>
          </w:p>
        </w:tc>
        <w:tc>
          <w:tcPr>
            <w:tcW w:w="1104" w:type="dxa"/>
            <w:tcBorders>
              <w:top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Y≥40000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2000≤Y＜40000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300≤Y＜2000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建筑业</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Y≥80000</w:t>
            </w:r>
          </w:p>
        </w:tc>
        <w:tc>
          <w:tcPr>
            <w:tcW w:w="1701"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6000≤Y＜80000</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300≤Y＜6000</w:t>
            </w:r>
          </w:p>
        </w:tc>
        <w:tc>
          <w:tcPr>
            <w:tcW w:w="1104" w:type="dxa"/>
            <w:vAlign w:val="center"/>
          </w:tcPr>
          <w:p>
            <w:pPr>
              <w:adjustRightInd w:val="0"/>
              <w:snapToGrid w:val="0"/>
              <w:rPr>
                <w:rFonts w:ascii="宋体" w:hAnsi="宋体"/>
                <w:sz w:val="18"/>
                <w:szCs w:val="18"/>
              </w:rPr>
            </w:pPr>
            <w:r>
              <w:rPr>
                <w:rFonts w:hint="eastAsia" w:ascii="宋体" w:hAnsi="宋体"/>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资产总额(Z)</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Z≥80000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5000≤Z＜80000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300≤Z＜5000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批发业</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X≥200</w:t>
            </w:r>
          </w:p>
        </w:tc>
        <w:tc>
          <w:tcPr>
            <w:tcW w:w="1701"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20≤X＜200</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5≤X＜20</w:t>
            </w:r>
          </w:p>
        </w:tc>
        <w:tc>
          <w:tcPr>
            <w:tcW w:w="1104" w:type="dxa"/>
            <w:vAlign w:val="center"/>
          </w:tcPr>
          <w:p>
            <w:pPr>
              <w:adjustRightInd w:val="0"/>
              <w:snapToGrid w:val="0"/>
              <w:rPr>
                <w:rFonts w:ascii="宋体" w:hAnsi="宋体"/>
                <w:sz w:val="18"/>
                <w:szCs w:val="18"/>
              </w:rPr>
            </w:pPr>
            <w:r>
              <w:rPr>
                <w:rFonts w:hint="eastAsia" w:ascii="宋体" w:hAnsi="宋体"/>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Y≥40000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5000≤Y＜40000</w:t>
            </w:r>
          </w:p>
        </w:tc>
        <w:tc>
          <w:tcPr>
            <w:tcW w:w="1426" w:type="dxa"/>
            <w:tcBorders>
              <w:bottom w:val="single" w:color="auto" w:sz="4" w:space="0"/>
              <w:right w:val="single" w:color="auto" w:sz="4" w:space="0"/>
            </w:tcBorders>
            <w:vAlign w:val="center"/>
          </w:tcPr>
          <w:p>
            <w:pPr>
              <w:adjustRightInd w:val="0"/>
              <w:snapToGrid w:val="0"/>
              <w:ind w:left="-1" w:leftChars="-1" w:hanging="1"/>
              <w:rPr>
                <w:rFonts w:ascii="宋体" w:hAnsi="宋体"/>
                <w:sz w:val="18"/>
                <w:szCs w:val="18"/>
              </w:rPr>
            </w:pPr>
            <w:r>
              <w:rPr>
                <w:rFonts w:hint="eastAsia" w:ascii="宋体" w:hAnsi="宋体"/>
                <w:sz w:val="18"/>
                <w:szCs w:val="18"/>
              </w:rPr>
              <w:t>1000≤Y＜5000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零售业</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50≤X＜300</w:t>
            </w:r>
          </w:p>
        </w:tc>
        <w:tc>
          <w:tcPr>
            <w:tcW w:w="1426" w:type="dxa"/>
            <w:tcBorders>
              <w:right w:val="single" w:color="auto" w:sz="4" w:space="0"/>
            </w:tcBorders>
            <w:vAlign w:val="center"/>
          </w:tcPr>
          <w:p>
            <w:pPr>
              <w:adjustRightInd w:val="0"/>
              <w:snapToGrid w:val="0"/>
              <w:ind w:left="-1" w:leftChars="-1" w:hanging="1"/>
              <w:rPr>
                <w:rFonts w:ascii="宋体" w:hAnsi="宋体"/>
                <w:sz w:val="18"/>
                <w:szCs w:val="18"/>
              </w:rPr>
            </w:pPr>
            <w:r>
              <w:rPr>
                <w:rFonts w:hint="eastAsia" w:ascii="宋体" w:hAnsi="宋体"/>
                <w:sz w:val="18"/>
                <w:szCs w:val="18"/>
              </w:rPr>
              <w:t xml:space="preserve">10≤X＜50 </w:t>
            </w:r>
          </w:p>
        </w:tc>
        <w:tc>
          <w:tcPr>
            <w:tcW w:w="1104" w:type="dxa"/>
            <w:vAlign w:val="center"/>
          </w:tcPr>
          <w:p>
            <w:pPr>
              <w:adjustRightInd w:val="0"/>
              <w:snapToGrid w:val="0"/>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Y≥20000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500≤Y＜20000</w:t>
            </w:r>
          </w:p>
        </w:tc>
        <w:tc>
          <w:tcPr>
            <w:tcW w:w="1426" w:type="dxa"/>
            <w:tcBorders>
              <w:bottom w:val="single" w:color="auto" w:sz="4" w:space="0"/>
              <w:right w:val="single" w:color="auto" w:sz="4" w:space="0"/>
            </w:tcBorders>
            <w:vAlign w:val="center"/>
          </w:tcPr>
          <w:p>
            <w:pPr>
              <w:adjustRightInd w:val="0"/>
              <w:snapToGrid w:val="0"/>
              <w:ind w:left="-1" w:leftChars="-1" w:hanging="1"/>
              <w:rPr>
                <w:rFonts w:ascii="宋体" w:hAnsi="宋体"/>
                <w:sz w:val="18"/>
                <w:szCs w:val="18"/>
              </w:rPr>
            </w:pPr>
            <w:r>
              <w:rPr>
                <w:rFonts w:hint="eastAsia" w:ascii="宋体" w:hAnsi="宋体"/>
                <w:sz w:val="18"/>
                <w:szCs w:val="18"/>
              </w:rPr>
              <w:t xml:space="preserve">100≤Y＜500 </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交通运输业</w:t>
            </w:r>
            <w:r>
              <w:rPr>
                <w:sz w:val="18"/>
                <w:szCs w:val="18"/>
              </w:rPr>
              <w:t>（</w:t>
            </w:r>
            <w:r>
              <w:rPr>
                <w:rFonts w:hint="eastAsia"/>
                <w:sz w:val="18"/>
                <w:szCs w:val="18"/>
              </w:rPr>
              <w:t>包括道路运输业，水上运输业，航空运输业，管道运输业，多式联运和运输代理业、装卸搬运，不包括铁路运输业</w:t>
            </w:r>
            <w:r>
              <w:rPr>
                <w:sz w:val="18"/>
                <w:szCs w:val="18"/>
              </w:rPr>
              <w:t>）</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20≤X＜300</w:t>
            </w:r>
          </w:p>
        </w:tc>
        <w:tc>
          <w:tcPr>
            <w:tcW w:w="1104" w:type="dxa"/>
            <w:vAlign w:val="center"/>
          </w:tcPr>
          <w:p>
            <w:pPr>
              <w:adjustRightInd w:val="0"/>
              <w:snapToGrid w:val="0"/>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1048"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3000≤Y＜30000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200≤Y＜3000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sz w:val="18"/>
                <w:szCs w:val="18"/>
              </w:rPr>
            </w:pPr>
            <w:r>
              <w:rPr>
                <w:rFonts w:hint="eastAsia"/>
                <w:sz w:val="18"/>
                <w:szCs w:val="18"/>
              </w:rPr>
              <w:t>仓储业（包括通用仓储，低温仓储，危险品仓储，谷物、棉花等农产品仓储，中药材仓储和其他仓储业）</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X≥200</w:t>
            </w:r>
          </w:p>
        </w:tc>
        <w:tc>
          <w:tcPr>
            <w:tcW w:w="1701" w:type="dxa"/>
            <w:tcBorders>
              <w:right w:val="single" w:color="auto" w:sz="4" w:space="0"/>
            </w:tcBorders>
            <w:vAlign w:val="center"/>
          </w:tcPr>
          <w:p>
            <w:pPr>
              <w:adjustRightInd w:val="0"/>
              <w:snapToGrid w:val="0"/>
              <w:ind w:left="1" w:leftChars="-51" w:hanging="108" w:hangingChars="60"/>
              <w:rPr>
                <w:rFonts w:ascii="宋体" w:hAnsi="宋体"/>
                <w:sz w:val="18"/>
                <w:szCs w:val="18"/>
              </w:rPr>
            </w:pPr>
            <w:r>
              <w:rPr>
                <w:rFonts w:hint="eastAsia" w:ascii="宋体" w:hAnsi="宋体"/>
                <w:sz w:val="18"/>
                <w:szCs w:val="18"/>
              </w:rPr>
              <w:t>100≤X＜200</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20≤X＜100</w:t>
            </w:r>
          </w:p>
        </w:tc>
        <w:tc>
          <w:tcPr>
            <w:tcW w:w="1104" w:type="dxa"/>
            <w:vAlign w:val="center"/>
          </w:tcPr>
          <w:p>
            <w:pPr>
              <w:adjustRightInd w:val="0"/>
              <w:snapToGrid w:val="0"/>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870"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1000≤Y＜30000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100≤Y＜1000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邮政业</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20≤X＜300</w:t>
            </w:r>
          </w:p>
        </w:tc>
        <w:tc>
          <w:tcPr>
            <w:tcW w:w="1104" w:type="dxa"/>
            <w:vAlign w:val="center"/>
          </w:tcPr>
          <w:p>
            <w:pPr>
              <w:adjustRightInd w:val="0"/>
              <w:snapToGrid w:val="0"/>
              <w:rPr>
                <w:rFonts w:ascii="宋体" w:hAnsi="宋体"/>
                <w:sz w:val="18"/>
                <w:szCs w:val="18"/>
              </w:rPr>
            </w:pPr>
            <w:r>
              <w:rPr>
                <w:rFonts w:hint="eastAsia" w:ascii="宋体" w:hAnsi="宋体"/>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Y≥30000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2000≤Y＜30000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住宿业</w:t>
            </w:r>
          </w:p>
        </w:tc>
        <w:tc>
          <w:tcPr>
            <w:tcW w:w="1369"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X≥300</w:t>
            </w:r>
          </w:p>
        </w:tc>
        <w:tc>
          <w:tcPr>
            <w:tcW w:w="1701" w:type="dxa"/>
            <w:tcBorders>
              <w:top w:val="nil"/>
              <w:right w:val="single" w:color="auto" w:sz="4" w:space="0"/>
            </w:tcBorders>
            <w:vAlign w:val="center"/>
          </w:tcPr>
          <w:p>
            <w:pPr>
              <w:adjustRightInd w:val="0"/>
              <w:snapToGrid w:val="0"/>
              <w:ind w:left="1" w:leftChars="-51" w:hanging="108" w:hangingChars="60"/>
              <w:rPr>
                <w:rFonts w:ascii="宋体" w:hAnsi="宋体"/>
                <w:sz w:val="18"/>
                <w:szCs w:val="18"/>
              </w:rPr>
            </w:pPr>
            <w:r>
              <w:rPr>
                <w:rFonts w:hint="eastAsia" w:ascii="宋体" w:hAnsi="宋体"/>
                <w:sz w:val="18"/>
                <w:szCs w:val="18"/>
              </w:rPr>
              <w:t xml:space="preserve">100≤X＜300 </w:t>
            </w:r>
          </w:p>
        </w:tc>
        <w:tc>
          <w:tcPr>
            <w:tcW w:w="1426"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10≤X＜100</w:t>
            </w:r>
          </w:p>
        </w:tc>
        <w:tc>
          <w:tcPr>
            <w:tcW w:w="1104" w:type="dxa"/>
            <w:tcBorders>
              <w:top w:val="nil"/>
            </w:tcBorders>
            <w:vAlign w:val="center"/>
          </w:tcPr>
          <w:p>
            <w:pPr>
              <w:adjustRightInd w:val="0"/>
              <w:snapToGrid w:val="0"/>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2000≤Y＜10000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餐饮业</w:t>
            </w:r>
          </w:p>
        </w:tc>
        <w:tc>
          <w:tcPr>
            <w:tcW w:w="1369"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X≥300</w:t>
            </w:r>
          </w:p>
        </w:tc>
        <w:tc>
          <w:tcPr>
            <w:tcW w:w="1701" w:type="dxa"/>
            <w:tcBorders>
              <w:top w:val="nil"/>
              <w:right w:val="single" w:color="auto" w:sz="4" w:space="0"/>
            </w:tcBorders>
            <w:vAlign w:val="center"/>
          </w:tcPr>
          <w:p>
            <w:pPr>
              <w:adjustRightInd w:val="0"/>
              <w:snapToGrid w:val="0"/>
              <w:ind w:left="1" w:leftChars="-51" w:hanging="108" w:hangingChars="60"/>
              <w:rPr>
                <w:rFonts w:ascii="宋体" w:hAnsi="宋体"/>
                <w:sz w:val="18"/>
                <w:szCs w:val="18"/>
              </w:rPr>
            </w:pPr>
            <w:r>
              <w:rPr>
                <w:rFonts w:hint="eastAsia" w:ascii="宋体" w:hAnsi="宋体"/>
                <w:sz w:val="18"/>
                <w:szCs w:val="18"/>
              </w:rPr>
              <w:t xml:space="preserve">100≤X＜300 </w:t>
            </w:r>
          </w:p>
        </w:tc>
        <w:tc>
          <w:tcPr>
            <w:tcW w:w="1426" w:type="dxa"/>
            <w:tcBorders>
              <w:top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10≤X＜100</w:t>
            </w:r>
          </w:p>
        </w:tc>
        <w:tc>
          <w:tcPr>
            <w:tcW w:w="1104" w:type="dxa"/>
            <w:tcBorders>
              <w:top w:val="nil"/>
            </w:tcBorders>
            <w:vAlign w:val="center"/>
          </w:tcPr>
          <w:p>
            <w:pPr>
              <w:adjustRightInd w:val="0"/>
              <w:snapToGrid w:val="0"/>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2000≤Y＜10000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100≤Y＜2000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sz w:val="18"/>
                <w:szCs w:val="18"/>
              </w:rPr>
              <w:t>信息传输业</w:t>
            </w:r>
            <w:r>
              <w:rPr>
                <w:sz w:val="18"/>
                <w:szCs w:val="18"/>
              </w:rPr>
              <w:t>（包括电信、广播电视和卫星传输服务，互联网和相关服务）</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X≥2000</w:t>
            </w:r>
          </w:p>
        </w:tc>
        <w:tc>
          <w:tcPr>
            <w:tcW w:w="1701"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100≤X＜2000</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10≤X＜100</w:t>
            </w:r>
          </w:p>
        </w:tc>
        <w:tc>
          <w:tcPr>
            <w:tcW w:w="1104" w:type="dxa"/>
            <w:vAlign w:val="center"/>
          </w:tcPr>
          <w:p>
            <w:pPr>
              <w:adjustRightInd w:val="0"/>
              <w:snapToGrid w:val="0"/>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1000≤Y＜100000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100≤Y＜1000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vAlign w:val="center"/>
          </w:tcPr>
          <w:p>
            <w:pPr>
              <w:adjustRightInd w:val="0"/>
              <w:snapToGrid w:val="0"/>
              <w:rPr>
                <w:rFonts w:ascii="宋体" w:hAnsi="宋体"/>
                <w:spacing w:val="-12"/>
                <w:sz w:val="18"/>
                <w:szCs w:val="18"/>
              </w:rPr>
            </w:pPr>
            <w:r>
              <w:rPr>
                <w:rFonts w:hint="eastAsia" w:ascii="宋体" w:hAnsi="宋体"/>
                <w:spacing w:val="-12"/>
                <w:sz w:val="18"/>
                <w:szCs w:val="18"/>
              </w:rPr>
              <w:t>软件和信息技术服</w:t>
            </w:r>
            <w:r>
              <w:rPr>
                <w:rFonts w:hint="eastAsia" w:ascii="宋体" w:hAnsi="宋体"/>
                <w:sz w:val="18"/>
                <w:szCs w:val="18"/>
              </w:rPr>
              <w:t>务业</w:t>
            </w:r>
          </w:p>
        </w:tc>
        <w:tc>
          <w:tcPr>
            <w:tcW w:w="1369"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adjustRightInd w:val="0"/>
              <w:snapToGrid w:val="0"/>
              <w:ind w:left="1" w:leftChars="-51" w:hanging="108" w:hangingChars="60"/>
              <w:rPr>
                <w:rFonts w:ascii="宋体" w:hAnsi="宋体"/>
                <w:sz w:val="18"/>
                <w:szCs w:val="18"/>
              </w:rPr>
            </w:pPr>
            <w:r>
              <w:rPr>
                <w:rFonts w:hint="eastAsia" w:ascii="宋体" w:hAnsi="宋体"/>
                <w:sz w:val="18"/>
                <w:szCs w:val="18"/>
              </w:rPr>
              <w:t xml:space="preserve">100≤X＜300 </w:t>
            </w:r>
          </w:p>
        </w:tc>
        <w:tc>
          <w:tcPr>
            <w:tcW w:w="1426" w:type="dxa"/>
            <w:tcBorders>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10≤X＜100</w:t>
            </w:r>
          </w:p>
        </w:tc>
        <w:tc>
          <w:tcPr>
            <w:tcW w:w="1104" w:type="dxa"/>
            <w:vAlign w:val="center"/>
          </w:tcPr>
          <w:p>
            <w:pPr>
              <w:adjustRightInd w:val="0"/>
              <w:snapToGrid w:val="0"/>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adjustRightInd w:val="0"/>
              <w:snapToGrid w:val="0"/>
              <w:rPr>
                <w:rFonts w:ascii="宋体" w:hAnsi="宋体"/>
                <w:b/>
                <w:bCs/>
                <w:spacing w:val="-12"/>
                <w:sz w:val="18"/>
                <w:szCs w:val="18"/>
              </w:rPr>
            </w:pPr>
          </w:p>
        </w:tc>
        <w:tc>
          <w:tcPr>
            <w:tcW w:w="1369"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Y≥10000</w:t>
            </w:r>
          </w:p>
        </w:tc>
        <w:tc>
          <w:tcPr>
            <w:tcW w:w="1701"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1000≤Y＜10000</w:t>
            </w:r>
          </w:p>
        </w:tc>
        <w:tc>
          <w:tcPr>
            <w:tcW w:w="1426" w:type="dxa"/>
            <w:tcBorders>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50≤Y＜1000</w:t>
            </w:r>
          </w:p>
        </w:tc>
        <w:tc>
          <w:tcPr>
            <w:tcW w:w="1104" w:type="dxa"/>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房地产开发经营</w:t>
            </w:r>
          </w:p>
        </w:tc>
        <w:tc>
          <w:tcPr>
            <w:tcW w:w="1369" w:type="dxa"/>
            <w:tcBorders>
              <w:top w:val="nil"/>
              <w:bottom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营业收入(Y)</w:t>
            </w:r>
          </w:p>
        </w:tc>
        <w:tc>
          <w:tcPr>
            <w:tcW w:w="1104" w:type="dxa"/>
            <w:tcBorders>
              <w:top w:val="nil"/>
              <w:bottom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top w:val="nil"/>
              <w:bottom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Y≥200000</w:t>
            </w:r>
          </w:p>
        </w:tc>
        <w:tc>
          <w:tcPr>
            <w:tcW w:w="1701" w:type="dxa"/>
            <w:tcBorders>
              <w:top w:val="nil"/>
              <w:bottom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1000≤Y＜200000</w:t>
            </w:r>
          </w:p>
        </w:tc>
        <w:tc>
          <w:tcPr>
            <w:tcW w:w="1426" w:type="dxa"/>
            <w:tcBorders>
              <w:top w:val="nil"/>
              <w:bottom w:val="nil"/>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 100≤Y＜1000</w:t>
            </w:r>
          </w:p>
        </w:tc>
        <w:tc>
          <w:tcPr>
            <w:tcW w:w="1104" w:type="dxa"/>
            <w:tcBorders>
              <w:top w:val="nil"/>
              <w:bottom w:val="nil"/>
            </w:tcBorders>
            <w:vAlign w:val="center"/>
          </w:tcPr>
          <w:p>
            <w:pPr>
              <w:adjustRightInd w:val="0"/>
              <w:snapToGrid w:val="0"/>
              <w:rPr>
                <w:rFonts w:ascii="宋体" w:hAnsi="宋体"/>
                <w:sz w:val="18"/>
                <w:szCs w:val="18"/>
              </w:rPr>
            </w:pPr>
            <w:r>
              <w:rPr>
                <w:rFonts w:hint="eastAsia" w:ascii="宋体" w:hAnsi="宋体"/>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adjustRightInd w:val="0"/>
              <w:snapToGrid w:val="0"/>
              <w:rPr>
                <w:rFonts w:ascii="宋体" w:hAnsi="宋体"/>
                <w:b/>
                <w:bCs/>
                <w:sz w:val="18"/>
                <w:szCs w:val="18"/>
              </w:rPr>
            </w:pPr>
          </w:p>
        </w:tc>
        <w:tc>
          <w:tcPr>
            <w:tcW w:w="1369" w:type="dxa"/>
            <w:tcBorders>
              <w:top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资产总额(Z)</w:t>
            </w:r>
          </w:p>
        </w:tc>
        <w:tc>
          <w:tcPr>
            <w:tcW w:w="1104" w:type="dxa"/>
            <w:tcBorders>
              <w:top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万元</w:t>
            </w:r>
          </w:p>
        </w:tc>
        <w:tc>
          <w:tcPr>
            <w:tcW w:w="1125" w:type="dxa"/>
            <w:tcBorders>
              <w:top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Z≥10000</w:t>
            </w:r>
          </w:p>
        </w:tc>
        <w:tc>
          <w:tcPr>
            <w:tcW w:w="1701" w:type="dxa"/>
            <w:tcBorders>
              <w:top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5000≤Z＜10000</w:t>
            </w:r>
          </w:p>
        </w:tc>
        <w:tc>
          <w:tcPr>
            <w:tcW w:w="1426" w:type="dxa"/>
            <w:tcBorders>
              <w:top w:val="nil"/>
              <w:bottom w:val="single" w:color="auto" w:sz="4" w:space="0"/>
              <w:right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 xml:space="preserve">2000≤Z＜5000   </w:t>
            </w:r>
          </w:p>
        </w:tc>
        <w:tc>
          <w:tcPr>
            <w:tcW w:w="1104" w:type="dxa"/>
            <w:tcBorders>
              <w:top w:val="nil"/>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物业管理</w:t>
            </w:r>
          </w:p>
        </w:tc>
        <w:tc>
          <w:tcPr>
            <w:tcW w:w="1369" w:type="dxa"/>
            <w:tcBorders>
              <w:right w:val="single" w:color="auto" w:sz="4" w:space="0"/>
            </w:tcBorders>
            <w:vAlign w:val="center"/>
          </w:tcPr>
          <w:p>
            <w:pPr>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rPr>
                <w:rFonts w:ascii="宋体" w:hAnsi="宋体"/>
                <w:sz w:val="18"/>
                <w:szCs w:val="18"/>
              </w:rPr>
            </w:pPr>
            <w:r>
              <w:rPr>
                <w:rFonts w:hint="eastAsia" w:ascii="宋体" w:hAnsi="宋体"/>
                <w:sz w:val="18"/>
                <w:szCs w:val="18"/>
              </w:rPr>
              <w:t>X≥1000</w:t>
            </w:r>
          </w:p>
        </w:tc>
        <w:tc>
          <w:tcPr>
            <w:tcW w:w="1701" w:type="dxa"/>
            <w:tcBorders>
              <w:right w:val="single" w:color="auto" w:sz="4" w:space="0"/>
            </w:tcBorders>
            <w:vAlign w:val="center"/>
          </w:tcPr>
          <w:p>
            <w:pPr>
              <w:rPr>
                <w:rFonts w:ascii="宋体" w:hAnsi="宋体"/>
                <w:sz w:val="18"/>
                <w:szCs w:val="18"/>
              </w:rPr>
            </w:pPr>
            <w:r>
              <w:rPr>
                <w:rFonts w:hint="eastAsia" w:ascii="宋体" w:hAnsi="宋体"/>
                <w:sz w:val="18"/>
                <w:szCs w:val="18"/>
              </w:rPr>
              <w:t>300≤X＜1000</w:t>
            </w:r>
          </w:p>
        </w:tc>
        <w:tc>
          <w:tcPr>
            <w:tcW w:w="1426" w:type="dxa"/>
            <w:tcBorders>
              <w:right w:val="single" w:color="auto" w:sz="4" w:space="0"/>
            </w:tcBorders>
            <w:vAlign w:val="center"/>
          </w:tcPr>
          <w:p>
            <w:pPr>
              <w:rPr>
                <w:rFonts w:ascii="宋体" w:hAnsi="宋体"/>
                <w:sz w:val="18"/>
                <w:szCs w:val="18"/>
              </w:rPr>
            </w:pPr>
            <w:r>
              <w:rPr>
                <w:rFonts w:hint="eastAsia" w:ascii="宋体" w:hAnsi="宋体"/>
                <w:sz w:val="18"/>
                <w:szCs w:val="18"/>
              </w:rPr>
              <w:t xml:space="preserve">100≤X＜300 </w:t>
            </w:r>
          </w:p>
        </w:tc>
        <w:tc>
          <w:tcPr>
            <w:tcW w:w="1104" w:type="dxa"/>
            <w:vAlign w:val="center"/>
          </w:tcPr>
          <w:p>
            <w:pPr>
              <w:rPr>
                <w:rFonts w:ascii="宋体" w:hAnsi="宋体"/>
                <w:sz w:val="18"/>
                <w:szCs w:val="18"/>
              </w:rPr>
            </w:pPr>
            <w:r>
              <w:rPr>
                <w:rFonts w:hint="eastAsia" w:ascii="宋体" w:hAnsi="宋体"/>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left w:val="nil"/>
              <w:bottom w:val="single" w:color="auto" w:sz="4" w:space="0"/>
              <w:right w:val="single" w:color="auto" w:sz="4" w:space="0"/>
            </w:tcBorders>
            <w:vAlign w:val="center"/>
          </w:tcPr>
          <w:p>
            <w:pPr>
              <w:rPr>
                <w:rFonts w:ascii="宋体" w:hAnsi="宋体"/>
                <w:b/>
                <w:bCs/>
                <w:sz w:val="18"/>
                <w:szCs w:val="18"/>
              </w:rPr>
            </w:pPr>
          </w:p>
        </w:tc>
        <w:tc>
          <w:tcPr>
            <w:tcW w:w="1369" w:type="dxa"/>
            <w:tcBorders>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营业收入(Y)</w:t>
            </w:r>
          </w:p>
        </w:tc>
        <w:tc>
          <w:tcPr>
            <w:tcW w:w="1104"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Y≥5000</w:t>
            </w:r>
          </w:p>
        </w:tc>
        <w:tc>
          <w:tcPr>
            <w:tcW w:w="1701" w:type="dxa"/>
            <w:tcBorders>
              <w:bottom w:val="single" w:color="auto" w:sz="4" w:space="0"/>
              <w:right w:val="single" w:color="auto" w:sz="4" w:space="0"/>
            </w:tcBorders>
            <w:vAlign w:val="center"/>
          </w:tcPr>
          <w:p>
            <w:pPr>
              <w:ind w:left="1" w:leftChars="-51" w:hanging="108" w:hangingChars="60"/>
              <w:rPr>
                <w:rFonts w:ascii="宋体" w:hAnsi="宋体"/>
                <w:sz w:val="18"/>
                <w:szCs w:val="18"/>
              </w:rPr>
            </w:pPr>
            <w:r>
              <w:rPr>
                <w:rFonts w:hint="eastAsia" w:ascii="宋体" w:hAnsi="宋体"/>
                <w:sz w:val="18"/>
                <w:szCs w:val="18"/>
              </w:rPr>
              <w:t xml:space="preserve">1000≤Y＜5000 </w:t>
            </w:r>
          </w:p>
        </w:tc>
        <w:tc>
          <w:tcPr>
            <w:tcW w:w="1426"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 500≤Y＜1000</w:t>
            </w:r>
          </w:p>
        </w:tc>
        <w:tc>
          <w:tcPr>
            <w:tcW w:w="1104" w:type="dxa"/>
            <w:tcBorders>
              <w:bottom w:val="single" w:color="auto" w:sz="4" w:space="0"/>
            </w:tcBorders>
            <w:vAlign w:val="center"/>
          </w:tcPr>
          <w:p>
            <w:pPr>
              <w:rPr>
                <w:rFonts w:ascii="宋体" w:hAnsi="宋体"/>
                <w:sz w:val="18"/>
                <w:szCs w:val="18"/>
              </w:rPr>
            </w:pPr>
            <w:r>
              <w:rPr>
                <w:rFonts w:hint="eastAsia" w:ascii="宋体" w:hAnsi="宋体"/>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租赁和商务服务业</w:t>
            </w:r>
          </w:p>
        </w:tc>
        <w:tc>
          <w:tcPr>
            <w:tcW w:w="1369" w:type="dxa"/>
            <w:tcBorders>
              <w:right w:val="single" w:color="auto" w:sz="4" w:space="0"/>
            </w:tcBorders>
            <w:vAlign w:val="center"/>
          </w:tcPr>
          <w:p>
            <w:pPr>
              <w:rPr>
                <w:rFonts w:ascii="宋体" w:hAnsi="宋体"/>
                <w:sz w:val="18"/>
                <w:szCs w:val="18"/>
              </w:rPr>
            </w:pPr>
            <w:r>
              <w:rPr>
                <w:rFonts w:hint="eastAsia" w:ascii="宋体" w:hAnsi="宋体"/>
                <w:sz w:val="18"/>
                <w:szCs w:val="18"/>
              </w:rPr>
              <w:t>从业人员(X)</w:t>
            </w:r>
          </w:p>
        </w:tc>
        <w:tc>
          <w:tcPr>
            <w:tcW w:w="1104" w:type="dxa"/>
            <w:tcBorders>
              <w:right w:val="single" w:color="auto" w:sz="4" w:space="0"/>
            </w:tcBorders>
            <w:vAlign w:val="center"/>
          </w:tcPr>
          <w:p>
            <w:pPr>
              <w:rPr>
                <w:rFonts w:ascii="宋体" w:hAnsi="宋体"/>
                <w:sz w:val="18"/>
                <w:szCs w:val="18"/>
              </w:rPr>
            </w:pPr>
            <w:r>
              <w:rPr>
                <w:rFonts w:hint="eastAsia" w:ascii="宋体" w:hAnsi="宋体"/>
                <w:sz w:val="18"/>
                <w:szCs w:val="18"/>
              </w:rPr>
              <w:t>人</w:t>
            </w:r>
          </w:p>
        </w:tc>
        <w:tc>
          <w:tcPr>
            <w:tcW w:w="1125" w:type="dxa"/>
            <w:tcBorders>
              <w:right w:val="single" w:color="auto" w:sz="4" w:space="0"/>
            </w:tcBorders>
            <w:vAlign w:val="center"/>
          </w:tcPr>
          <w:p>
            <w:pPr>
              <w:rPr>
                <w:rFonts w:ascii="宋体" w:hAnsi="宋体"/>
                <w:sz w:val="18"/>
                <w:szCs w:val="18"/>
              </w:rPr>
            </w:pPr>
            <w:r>
              <w:rPr>
                <w:rFonts w:hint="eastAsia" w:ascii="宋体" w:hAnsi="宋体"/>
                <w:sz w:val="18"/>
                <w:szCs w:val="18"/>
              </w:rPr>
              <w:t>X≥300</w:t>
            </w:r>
          </w:p>
        </w:tc>
        <w:tc>
          <w:tcPr>
            <w:tcW w:w="1701" w:type="dxa"/>
            <w:tcBorders>
              <w:right w:val="single" w:color="auto" w:sz="4" w:space="0"/>
            </w:tcBorders>
            <w:vAlign w:val="center"/>
          </w:tcPr>
          <w:p>
            <w:pPr>
              <w:ind w:left="1" w:leftChars="-51" w:hanging="108" w:hangingChars="60"/>
              <w:rPr>
                <w:rFonts w:ascii="宋体" w:hAnsi="宋体"/>
                <w:sz w:val="18"/>
                <w:szCs w:val="18"/>
              </w:rPr>
            </w:pPr>
            <w:r>
              <w:rPr>
                <w:rFonts w:hint="eastAsia" w:ascii="宋体" w:hAnsi="宋体"/>
                <w:sz w:val="18"/>
                <w:szCs w:val="18"/>
              </w:rPr>
              <w:t xml:space="preserve">100≤X＜300 </w:t>
            </w:r>
          </w:p>
        </w:tc>
        <w:tc>
          <w:tcPr>
            <w:tcW w:w="1426" w:type="dxa"/>
            <w:tcBorders>
              <w:right w:val="single" w:color="auto" w:sz="4" w:space="0"/>
            </w:tcBorders>
            <w:vAlign w:val="center"/>
          </w:tcPr>
          <w:p>
            <w:pPr>
              <w:rPr>
                <w:rFonts w:ascii="宋体" w:hAnsi="宋体"/>
                <w:sz w:val="18"/>
                <w:szCs w:val="18"/>
              </w:rPr>
            </w:pPr>
            <w:r>
              <w:rPr>
                <w:rFonts w:hint="eastAsia" w:ascii="宋体" w:hAnsi="宋体"/>
                <w:sz w:val="18"/>
                <w:szCs w:val="18"/>
              </w:rPr>
              <w:t xml:space="preserve"> 10≤X＜100</w:t>
            </w:r>
          </w:p>
        </w:tc>
        <w:tc>
          <w:tcPr>
            <w:tcW w:w="1104" w:type="dxa"/>
            <w:vAlign w:val="center"/>
          </w:tcPr>
          <w:p>
            <w:pPr>
              <w:rPr>
                <w:rFonts w:ascii="宋体" w:hAnsi="宋体"/>
                <w:sz w:val="18"/>
                <w:szCs w:val="18"/>
              </w:rPr>
            </w:pPr>
            <w:r>
              <w:rPr>
                <w:rFonts w:hint="eastAsia" w:ascii="宋体" w:hAnsi="宋体"/>
                <w:sz w:val="18"/>
                <w:szCs w:val="18"/>
              </w:rPr>
              <w:t>X＜10</w:t>
            </w:r>
          </w:p>
        </w:tc>
      </w:tr>
      <w:tr>
        <w:tblPrEx>
          <w:tblCellMar>
            <w:top w:w="0" w:type="dxa"/>
            <w:left w:w="108" w:type="dxa"/>
            <w:bottom w:w="0" w:type="dxa"/>
            <w:right w:w="108" w:type="dxa"/>
          </w:tblCellMar>
        </w:tblPrEx>
        <w:trPr>
          <w:trHeight w:val="620" w:hRule="exact"/>
          <w:jc w:val="center"/>
        </w:trPr>
        <w:tc>
          <w:tcPr>
            <w:tcW w:w="2113" w:type="dxa"/>
            <w:vMerge w:val="continue"/>
            <w:tcBorders>
              <w:left w:val="nil"/>
              <w:bottom w:val="single" w:color="auto" w:sz="4" w:space="0"/>
              <w:right w:val="single" w:color="auto" w:sz="4" w:space="0"/>
            </w:tcBorders>
            <w:vAlign w:val="center"/>
          </w:tcPr>
          <w:p>
            <w:pPr>
              <w:rPr>
                <w:rFonts w:ascii="宋体" w:hAnsi="宋体"/>
                <w:b/>
                <w:bCs/>
                <w:sz w:val="18"/>
                <w:szCs w:val="18"/>
              </w:rPr>
            </w:pPr>
          </w:p>
        </w:tc>
        <w:tc>
          <w:tcPr>
            <w:tcW w:w="1369" w:type="dxa"/>
            <w:tcBorders>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资产总额(Z)</w:t>
            </w:r>
          </w:p>
        </w:tc>
        <w:tc>
          <w:tcPr>
            <w:tcW w:w="1104"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万元</w:t>
            </w:r>
          </w:p>
        </w:tc>
        <w:tc>
          <w:tcPr>
            <w:tcW w:w="1125"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Z≥120000</w:t>
            </w:r>
          </w:p>
        </w:tc>
        <w:tc>
          <w:tcPr>
            <w:tcW w:w="1701"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 8000≤Z＜120000</w:t>
            </w:r>
          </w:p>
        </w:tc>
        <w:tc>
          <w:tcPr>
            <w:tcW w:w="1426" w:type="dxa"/>
            <w:tcBorders>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 100≤Z＜8000</w:t>
            </w:r>
          </w:p>
        </w:tc>
        <w:tc>
          <w:tcPr>
            <w:tcW w:w="1104" w:type="dxa"/>
            <w:tcBorders>
              <w:bottom w:val="single" w:color="auto" w:sz="4" w:space="0"/>
            </w:tcBorders>
            <w:vAlign w:val="center"/>
          </w:tcPr>
          <w:p>
            <w:pPr>
              <w:rPr>
                <w:rFonts w:ascii="宋体" w:hAnsi="宋体"/>
                <w:sz w:val="18"/>
                <w:szCs w:val="18"/>
              </w:rPr>
            </w:pPr>
            <w:r>
              <w:rPr>
                <w:rFonts w:hint="eastAsia" w:ascii="宋体" w:hAnsi="宋体"/>
                <w:sz w:val="18"/>
                <w:szCs w:val="18"/>
              </w:rPr>
              <w:t>Z＜100</w:t>
            </w:r>
          </w:p>
        </w:tc>
      </w:tr>
      <w:tr>
        <w:tblPrEx>
          <w:tblCellMar>
            <w:top w:w="0" w:type="dxa"/>
            <w:left w:w="108" w:type="dxa"/>
            <w:bottom w:w="0" w:type="dxa"/>
            <w:right w:w="108" w:type="dxa"/>
          </w:tblCellMar>
        </w:tblPrEx>
        <w:trPr>
          <w:trHeight w:val="2068" w:hRule="exact"/>
          <w:jc w:val="center"/>
        </w:trPr>
        <w:tc>
          <w:tcPr>
            <w:tcW w:w="2113" w:type="dxa"/>
            <w:tcBorders>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cs="宋体"/>
                <w:sz w:val="18"/>
                <w:szCs w:val="18"/>
              </w:rPr>
              <w:t>科学研究和技术服务业，</w:t>
            </w:r>
            <w:r>
              <w:rPr>
                <w:rFonts w:hint="eastAsia" w:ascii="宋体" w:hAnsi="宋体"/>
                <w:sz w:val="18"/>
                <w:szCs w:val="18"/>
              </w:rPr>
              <w:t>水利、环境和公共设施管理业，居民服务、修理和其他服务业，</w:t>
            </w:r>
            <w:r>
              <w:rPr>
                <w:rFonts w:hint="eastAsia" w:ascii="宋体" w:hAnsi="宋体" w:cs="宋体"/>
                <w:sz w:val="18"/>
                <w:szCs w:val="18"/>
              </w:rPr>
              <w:t>社会工作，文化、体育和娱乐业，以及</w:t>
            </w:r>
            <w:r>
              <w:rPr>
                <w:rFonts w:hint="eastAsia" w:ascii="宋体" w:hAnsi="宋体"/>
                <w:sz w:val="18"/>
                <w:szCs w:val="18"/>
              </w:rPr>
              <w:t>房地产中介服务，其他房地产业</w:t>
            </w:r>
            <w:r>
              <w:rPr>
                <w:rFonts w:hint="eastAsia" w:ascii="宋体" w:hAnsi="宋体" w:cs="宋体"/>
                <w:sz w:val="18"/>
                <w:szCs w:val="18"/>
              </w:rPr>
              <w:t>等，</w:t>
            </w:r>
            <w:r>
              <w:rPr>
                <w:rFonts w:hint="eastAsia" w:ascii="宋体" w:hAnsi="宋体"/>
                <w:sz w:val="18"/>
                <w:szCs w:val="18"/>
              </w:rPr>
              <w:t>不包括自有房地产经营活动</w:t>
            </w:r>
          </w:p>
        </w:tc>
        <w:tc>
          <w:tcPr>
            <w:tcW w:w="1369" w:type="dxa"/>
            <w:tcBorders>
              <w:bottom w:val="single" w:color="auto" w:sz="4" w:space="0"/>
              <w:right w:val="single" w:color="auto" w:sz="4" w:space="0"/>
            </w:tcBorders>
          </w:tcPr>
          <w:p>
            <w:pPr>
              <w:rPr>
                <w:rFonts w:ascii="宋体" w:hAnsi="宋体"/>
                <w:sz w:val="18"/>
                <w:szCs w:val="18"/>
              </w:rPr>
            </w:pPr>
            <w:r>
              <w:rPr>
                <w:rFonts w:hint="eastAsia" w:ascii="宋体" w:hAnsi="宋体"/>
                <w:sz w:val="18"/>
                <w:szCs w:val="18"/>
              </w:rPr>
              <w:t>从业人员(X)</w:t>
            </w:r>
          </w:p>
        </w:tc>
        <w:tc>
          <w:tcPr>
            <w:tcW w:w="1104" w:type="dxa"/>
            <w:tcBorders>
              <w:bottom w:val="single" w:color="auto" w:sz="4" w:space="0"/>
              <w:right w:val="single" w:color="auto" w:sz="4" w:space="0"/>
            </w:tcBorders>
          </w:tcPr>
          <w:p>
            <w:pPr>
              <w:rPr>
                <w:rFonts w:ascii="宋体" w:hAnsi="宋体"/>
                <w:sz w:val="18"/>
                <w:szCs w:val="18"/>
              </w:rPr>
            </w:pPr>
            <w:r>
              <w:rPr>
                <w:rFonts w:hint="eastAsia" w:ascii="宋体" w:hAnsi="宋体"/>
                <w:sz w:val="18"/>
                <w:szCs w:val="18"/>
              </w:rPr>
              <w:t>人</w:t>
            </w:r>
          </w:p>
        </w:tc>
        <w:tc>
          <w:tcPr>
            <w:tcW w:w="1125" w:type="dxa"/>
            <w:tcBorders>
              <w:bottom w:val="single" w:color="auto" w:sz="4" w:space="0"/>
              <w:right w:val="single" w:color="auto" w:sz="4" w:space="0"/>
            </w:tcBorders>
          </w:tcPr>
          <w:p>
            <w:pPr>
              <w:rPr>
                <w:rFonts w:ascii="宋体" w:hAnsi="宋体"/>
                <w:sz w:val="18"/>
                <w:szCs w:val="18"/>
              </w:rPr>
            </w:pPr>
            <w:r>
              <w:rPr>
                <w:rFonts w:hint="eastAsia" w:ascii="宋体" w:hAnsi="宋体"/>
                <w:sz w:val="18"/>
                <w:szCs w:val="18"/>
              </w:rPr>
              <w:t>X≥300</w:t>
            </w:r>
          </w:p>
        </w:tc>
        <w:tc>
          <w:tcPr>
            <w:tcW w:w="1701" w:type="dxa"/>
            <w:tcBorders>
              <w:bottom w:val="single" w:color="auto" w:sz="4" w:space="0"/>
              <w:right w:val="single" w:color="auto" w:sz="4" w:space="0"/>
            </w:tcBorders>
          </w:tcPr>
          <w:p>
            <w:pPr>
              <w:ind w:left="1" w:leftChars="-51" w:hanging="108" w:hangingChars="60"/>
              <w:rPr>
                <w:rFonts w:ascii="宋体" w:hAnsi="宋体"/>
                <w:sz w:val="18"/>
                <w:szCs w:val="18"/>
              </w:rPr>
            </w:pPr>
            <w:r>
              <w:rPr>
                <w:rFonts w:hint="eastAsia" w:ascii="宋体" w:hAnsi="宋体"/>
                <w:sz w:val="18"/>
                <w:szCs w:val="18"/>
              </w:rPr>
              <w:t>100≤X＜300</w:t>
            </w:r>
          </w:p>
        </w:tc>
        <w:tc>
          <w:tcPr>
            <w:tcW w:w="1426" w:type="dxa"/>
            <w:tcBorders>
              <w:bottom w:val="single" w:color="auto" w:sz="4" w:space="0"/>
              <w:right w:val="single" w:color="auto" w:sz="4" w:space="0"/>
            </w:tcBorders>
          </w:tcPr>
          <w:p>
            <w:pPr>
              <w:rPr>
                <w:rFonts w:ascii="宋体" w:hAnsi="宋体"/>
                <w:sz w:val="18"/>
                <w:szCs w:val="18"/>
              </w:rPr>
            </w:pPr>
            <w:r>
              <w:rPr>
                <w:rFonts w:hint="eastAsia" w:ascii="宋体" w:hAnsi="宋体"/>
                <w:sz w:val="18"/>
                <w:szCs w:val="18"/>
              </w:rPr>
              <w:t>10≤X＜100</w:t>
            </w:r>
          </w:p>
        </w:tc>
        <w:tc>
          <w:tcPr>
            <w:tcW w:w="1104" w:type="dxa"/>
            <w:tcBorders>
              <w:bottom w:val="single" w:color="auto" w:sz="4" w:space="0"/>
            </w:tcBorders>
          </w:tcPr>
          <w:p>
            <w:pPr>
              <w:rPr>
                <w:rFonts w:ascii="宋体" w:hAnsi="宋体"/>
                <w:sz w:val="18"/>
                <w:szCs w:val="18"/>
              </w:rPr>
            </w:pPr>
            <w:r>
              <w:rPr>
                <w:rFonts w:hint="eastAsia" w:ascii="宋体" w:hAnsi="宋体"/>
                <w:sz w:val="18"/>
                <w:szCs w:val="18"/>
              </w:rPr>
              <w:t>X＜10</w:t>
            </w:r>
          </w:p>
        </w:tc>
      </w:tr>
    </w:tbl>
    <w:p>
      <w:pPr>
        <w:pStyle w:val="22"/>
        <w:adjustRightInd w:val="0"/>
        <w:snapToGrid w:val="0"/>
        <w:jc w:val="center"/>
        <w:rPr>
          <w:rFonts w:ascii="宋体" w:hAnsi="宋体" w:eastAsia="宋体"/>
          <w:b/>
          <w:sz w:val="30"/>
          <w:szCs w:val="30"/>
        </w:rPr>
      </w:pPr>
      <w:r>
        <w:rPr>
          <w:rFonts w:hint="eastAsia" w:ascii="宋体" w:hAnsi="宋体" w:eastAsia="宋体"/>
          <w:b/>
          <w:sz w:val="30"/>
          <w:szCs w:val="30"/>
        </w:rPr>
        <w:t>金融业企业划型标准</w:t>
      </w:r>
    </w:p>
    <w:tbl>
      <w:tblPr>
        <w:tblStyle w:val="17"/>
        <w:tblW w:w="9270" w:type="dxa"/>
        <w:tblCellSpacing w:w="0" w:type="dxa"/>
        <w:tblInd w:w="15"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1253"/>
        <w:gridCol w:w="143"/>
        <w:gridCol w:w="1818"/>
        <w:gridCol w:w="1820"/>
        <w:gridCol w:w="985"/>
        <w:gridCol w:w="3251"/>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270" w:hRule="atLeast"/>
          <w:tblCellSpacing w:w="0" w:type="dxa"/>
        </w:trPr>
        <w:tc>
          <w:tcPr>
            <w:tcW w:w="3214" w:type="dxa"/>
            <w:gridSpan w:val="3"/>
            <w:tcBorders>
              <w:right w:val="single" w:color="auto" w:sz="4" w:space="0"/>
            </w:tcBorders>
            <w:tcMar>
              <w:top w:w="15" w:type="dxa"/>
              <w:left w:w="15" w:type="dxa"/>
              <w:bottom w:w="0" w:type="dxa"/>
              <w:right w:w="15" w:type="dxa"/>
            </w:tcMar>
            <w:vAlign w:val="center"/>
          </w:tcPr>
          <w:p>
            <w:pPr>
              <w:adjustRightInd w:val="0"/>
              <w:snapToGrid w:val="0"/>
              <w:ind w:left="855" w:leftChars="407"/>
              <w:jc w:val="center"/>
              <w:textAlignment w:val="center"/>
              <w:rPr>
                <w:rFonts w:ascii="宋体" w:hAnsi="宋体" w:cs="宋体"/>
                <w:b/>
                <w:bCs/>
                <w:sz w:val="18"/>
                <w:szCs w:val="18"/>
              </w:rPr>
            </w:pPr>
            <w:r>
              <w:rPr>
                <w:rFonts w:hint="eastAsia" w:ascii="宋体" w:hAnsi="宋体" w:cs="宋体"/>
                <w:b/>
                <w:bCs/>
                <w:sz w:val="18"/>
                <w:szCs w:val="18"/>
              </w:rPr>
              <w:t>行业</w:t>
            </w:r>
          </w:p>
        </w:tc>
        <w:tc>
          <w:tcPr>
            <w:tcW w:w="1820"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类别</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类型</w:t>
            </w:r>
          </w:p>
        </w:tc>
        <w:tc>
          <w:tcPr>
            <w:tcW w:w="3251" w:type="dxa"/>
            <w:tcBorders>
              <w:lef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b/>
                <w:bCs/>
                <w:sz w:val="18"/>
                <w:szCs w:val="18"/>
              </w:rPr>
            </w:pPr>
            <w:r>
              <w:rPr>
                <w:rFonts w:hint="eastAsia" w:ascii="宋体" w:hAnsi="宋体" w:cs="宋体"/>
                <w:b/>
                <w:bCs/>
                <w:sz w:val="18"/>
                <w:szCs w:val="18"/>
              </w:rPr>
              <w:t>资产总额</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2" w:hRule="atLeast"/>
          <w:tblCellSpacing w:w="0" w:type="dxa"/>
        </w:trPr>
        <w:tc>
          <w:tcPr>
            <w:tcW w:w="1396" w:type="dxa"/>
            <w:gridSpan w:val="2"/>
            <w:vMerge w:val="restart"/>
            <w:tcBorders>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货币金融服务</w:t>
            </w:r>
          </w:p>
        </w:tc>
        <w:tc>
          <w:tcPr>
            <w:tcW w:w="1818"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货币银行服务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银行业存款类金融机构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0"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3"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非货币银行服务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银行业非存款类金融机构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2"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50亿元（含）200亿元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71"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9"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贷款公司、小额贷款公司及典当行</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38"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40" w:hRule="atLeast"/>
          <w:tblCellSpacing w:w="0" w:type="dxa"/>
        </w:trPr>
        <w:tc>
          <w:tcPr>
            <w:tcW w:w="1396" w:type="dxa"/>
            <w:gridSpan w:val="2"/>
            <w:vMerge w:val="continue"/>
            <w:tcBorders>
              <w:right w:val="single" w:color="auto" w:sz="4" w:space="0"/>
            </w:tcBorders>
            <w:vAlign w:val="center"/>
          </w:tcPr>
          <w:p>
            <w:pPr>
              <w:adjustRightInd w:val="0"/>
              <w:snapToGrid w:val="0"/>
              <w:rPr>
                <w:rFonts w:ascii="宋体" w:hAnsi="宋体" w:cs="宋体"/>
                <w:sz w:val="18"/>
                <w:szCs w:val="18"/>
              </w:rPr>
            </w:pPr>
          </w:p>
        </w:tc>
        <w:tc>
          <w:tcPr>
            <w:tcW w:w="1818"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5" w:hRule="atLeast"/>
          <w:tblCellSpacing w:w="0" w:type="dxa"/>
        </w:trPr>
        <w:tc>
          <w:tcPr>
            <w:tcW w:w="3214" w:type="dxa"/>
            <w:gridSpan w:val="3"/>
            <w:vMerge w:val="restart"/>
            <w:tcBorders>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资本市场服务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证券业金融机构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100亿元（含）至1000亿元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6" w:hRule="atLeast"/>
          <w:tblCellSpacing w:w="0" w:type="dxa"/>
        </w:trPr>
        <w:tc>
          <w:tcPr>
            <w:tcW w:w="3214" w:type="dxa"/>
            <w:gridSpan w:val="3"/>
            <w:vMerge w:val="continue"/>
            <w:tcBorders>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10亿元（含）100亿元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0" w:hRule="atLeast"/>
          <w:tblCellSpacing w:w="0" w:type="dxa"/>
        </w:trPr>
        <w:tc>
          <w:tcPr>
            <w:tcW w:w="3214" w:type="dxa"/>
            <w:gridSpan w:val="3"/>
            <w:vMerge w:val="continue"/>
            <w:tcBorders>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10亿元以下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03" w:hRule="atLeast"/>
          <w:tblCellSpacing w:w="0" w:type="dxa"/>
        </w:trPr>
        <w:tc>
          <w:tcPr>
            <w:tcW w:w="3214" w:type="dxa"/>
            <w:gridSpan w:val="3"/>
            <w:vMerge w:val="restart"/>
            <w:tcBorders>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保险业</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保险业金融机构</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400亿元（含）至5000亿元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0" w:hRule="atLeast"/>
          <w:tblCellSpacing w:w="0" w:type="dxa"/>
        </w:trPr>
        <w:tc>
          <w:tcPr>
            <w:tcW w:w="3214" w:type="dxa"/>
            <w:gridSpan w:val="3"/>
            <w:vMerge w:val="continue"/>
            <w:tcBorders>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51" w:hRule="atLeast"/>
          <w:tblCellSpacing w:w="0" w:type="dxa"/>
        </w:trPr>
        <w:tc>
          <w:tcPr>
            <w:tcW w:w="3214" w:type="dxa"/>
            <w:gridSpan w:val="3"/>
            <w:vMerge w:val="continue"/>
            <w:tcBorders>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trPr>
        <w:tc>
          <w:tcPr>
            <w:tcW w:w="1253" w:type="dxa"/>
            <w:vMerge w:val="restart"/>
            <w:tcBorders>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其他金融业</w:t>
            </w:r>
          </w:p>
        </w:tc>
        <w:tc>
          <w:tcPr>
            <w:tcW w:w="1961" w:type="dxa"/>
            <w:gridSpan w:val="2"/>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金融信托与管理服务</w:t>
            </w:r>
          </w:p>
        </w:tc>
        <w:tc>
          <w:tcPr>
            <w:tcW w:w="1820" w:type="dxa"/>
            <w:vMerge w:val="restart"/>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信托公司</w:t>
            </w: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400亿元（含）至1000亿元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89" w:hRule="atLeast"/>
          <w:tblCellSpacing w:w="0" w:type="dxa"/>
        </w:trPr>
        <w:tc>
          <w:tcPr>
            <w:tcW w:w="1253" w:type="dxa"/>
            <w:vMerge w:val="continue"/>
            <w:tcBorders>
              <w:right w:val="single" w:color="auto" w:sz="4" w:space="0"/>
            </w:tcBorders>
            <w:vAlign w:val="center"/>
          </w:tcPr>
          <w:p>
            <w:pPr>
              <w:adjustRightInd w:val="0"/>
              <w:snapToGrid w:val="0"/>
              <w:rPr>
                <w:rFonts w:ascii="宋体" w:hAnsi="宋体" w:cs="宋体"/>
                <w:sz w:val="18"/>
                <w:szCs w:val="18"/>
              </w:rPr>
            </w:pPr>
          </w:p>
        </w:tc>
        <w:tc>
          <w:tcPr>
            <w:tcW w:w="1961" w:type="dxa"/>
            <w:gridSpan w:val="2"/>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20亿元（含）至400亿元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90" w:hRule="atLeast"/>
          <w:tblCellSpacing w:w="0" w:type="dxa"/>
        </w:trPr>
        <w:tc>
          <w:tcPr>
            <w:tcW w:w="1253" w:type="dxa"/>
            <w:vMerge w:val="continue"/>
            <w:tcBorders>
              <w:right w:val="single" w:color="auto" w:sz="4" w:space="0"/>
            </w:tcBorders>
            <w:vAlign w:val="center"/>
          </w:tcPr>
          <w:p>
            <w:pPr>
              <w:adjustRightInd w:val="0"/>
              <w:snapToGrid w:val="0"/>
              <w:rPr>
                <w:rFonts w:ascii="宋体" w:hAnsi="宋体" w:cs="宋体"/>
                <w:sz w:val="18"/>
                <w:szCs w:val="18"/>
              </w:rPr>
            </w:pPr>
          </w:p>
        </w:tc>
        <w:tc>
          <w:tcPr>
            <w:tcW w:w="1961" w:type="dxa"/>
            <w:gridSpan w:val="2"/>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left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left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lef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20亿元以下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68" w:hRule="atLeast"/>
          <w:tblCellSpacing w:w="0" w:type="dxa"/>
        </w:trPr>
        <w:tc>
          <w:tcPr>
            <w:tcW w:w="1253" w:type="dxa"/>
            <w:vMerge w:val="continue"/>
            <w:tcBorders>
              <w:right w:val="single" w:color="auto" w:sz="4" w:space="0"/>
            </w:tcBorders>
            <w:vAlign w:val="center"/>
          </w:tcPr>
          <w:p>
            <w:pPr>
              <w:adjustRightInd w:val="0"/>
              <w:snapToGrid w:val="0"/>
              <w:rPr>
                <w:rFonts w:ascii="宋体" w:hAnsi="宋体" w:cs="宋体"/>
                <w:sz w:val="18"/>
                <w:szCs w:val="18"/>
              </w:rPr>
            </w:pPr>
          </w:p>
        </w:tc>
        <w:tc>
          <w:tcPr>
            <w:tcW w:w="1961" w:type="dxa"/>
            <w:gridSpan w:val="2"/>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控股公司服务</w:t>
            </w:r>
          </w:p>
        </w:tc>
        <w:tc>
          <w:tcPr>
            <w:tcW w:w="1820" w:type="dxa"/>
            <w:vMerge w:val="restart"/>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金融控股公司</w:t>
            </w:r>
          </w:p>
        </w:tc>
        <w:tc>
          <w:tcPr>
            <w:tcW w:w="985"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5000亿元（含）至40000亿元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04" w:hRule="atLeast"/>
          <w:tblCellSpacing w:w="0" w:type="dxa"/>
        </w:trPr>
        <w:tc>
          <w:tcPr>
            <w:tcW w:w="1253" w:type="dxa"/>
            <w:vMerge w:val="continue"/>
            <w:tcBorders>
              <w:right w:val="single" w:color="auto" w:sz="4" w:space="0"/>
            </w:tcBorders>
            <w:vAlign w:val="center"/>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50亿元（含）至5000亿元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28" w:hRule="atLeast"/>
          <w:tblCellSpacing w:w="0" w:type="dxa"/>
        </w:trPr>
        <w:tc>
          <w:tcPr>
            <w:tcW w:w="1253" w:type="dxa"/>
            <w:vMerge w:val="continue"/>
            <w:tcBorders>
              <w:right w:val="single" w:color="auto" w:sz="4" w:space="0"/>
            </w:tcBorders>
            <w:vAlign w:val="center"/>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textAlignment w:val="center"/>
              <w:rPr>
                <w:rFonts w:ascii="宋体" w:hAnsi="宋体" w:cs="宋体"/>
                <w:sz w:val="18"/>
                <w:szCs w:val="18"/>
              </w:rPr>
            </w:pPr>
            <w:r>
              <w:rPr>
                <w:rFonts w:hint="eastAsia" w:ascii="宋体" w:hAnsi="宋体" w:cs="宋体"/>
                <w:sz w:val="18"/>
                <w:szCs w:val="18"/>
              </w:rPr>
              <w:t>50亿元以下</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1" w:hRule="atLeast"/>
          <w:tblCellSpacing w:w="0" w:type="dxa"/>
        </w:trPr>
        <w:tc>
          <w:tcPr>
            <w:tcW w:w="1253" w:type="dxa"/>
            <w:vMerge w:val="continue"/>
            <w:tcBorders>
              <w:right w:val="single" w:color="auto" w:sz="4" w:space="0"/>
            </w:tcBorders>
          </w:tcPr>
          <w:p>
            <w:pPr>
              <w:adjustRightInd w:val="0"/>
              <w:snapToGrid w:val="0"/>
              <w:rPr>
                <w:rFonts w:ascii="宋体" w:hAnsi="宋体" w:cs="宋体"/>
                <w:sz w:val="18"/>
                <w:szCs w:val="18"/>
              </w:rPr>
            </w:pPr>
          </w:p>
        </w:tc>
        <w:tc>
          <w:tcPr>
            <w:tcW w:w="1961" w:type="dxa"/>
            <w:gridSpan w:val="2"/>
            <w:vMerge w:val="restart"/>
            <w:tcBorders>
              <w:top w:val="single" w:color="auto" w:sz="4" w:space="0"/>
              <w:left w:val="single" w:color="auto" w:sz="4" w:space="0"/>
              <w:bottom w:val="single" w:color="auto" w:sz="4" w:space="0"/>
              <w:right w:val="single" w:color="auto" w:sz="4" w:space="0"/>
            </w:tcBorders>
          </w:tcPr>
          <w:p>
            <w:pPr>
              <w:adjustRightInd w:val="0"/>
              <w:snapToGrid w:val="0"/>
              <w:textAlignment w:val="center"/>
              <w:rPr>
                <w:rFonts w:ascii="宋体" w:hAnsi="宋体" w:cs="宋体"/>
                <w:sz w:val="18"/>
                <w:szCs w:val="18"/>
              </w:rPr>
            </w:pPr>
            <w:r>
              <w:rPr>
                <w:rFonts w:hint="eastAsia" w:ascii="宋体" w:hAnsi="宋体" w:cs="宋体"/>
                <w:sz w:val="18"/>
                <w:szCs w:val="18"/>
              </w:rPr>
              <w:t>其他未包括的金融业</w:t>
            </w:r>
          </w:p>
        </w:tc>
        <w:tc>
          <w:tcPr>
            <w:tcW w:w="1820" w:type="dxa"/>
            <w:vMerge w:val="restart"/>
            <w:tcBorders>
              <w:top w:val="single" w:color="auto" w:sz="4" w:space="0"/>
              <w:left w:val="single" w:color="auto" w:sz="4" w:space="0"/>
              <w:bottom w:val="single" w:color="auto" w:sz="4" w:space="0"/>
              <w:right w:val="single" w:color="auto" w:sz="4" w:space="0"/>
            </w:tcBorders>
          </w:tcPr>
          <w:p>
            <w:pPr>
              <w:adjustRightInd w:val="0"/>
              <w:snapToGrid w:val="0"/>
              <w:textAlignment w:val="center"/>
              <w:rPr>
                <w:rFonts w:ascii="宋体" w:hAnsi="宋体" w:cs="宋体"/>
                <w:sz w:val="18"/>
                <w:szCs w:val="18"/>
              </w:rPr>
            </w:pPr>
            <w:r>
              <w:rPr>
                <w:rFonts w:hint="eastAsia" w:ascii="宋体" w:hAnsi="宋体" w:cs="宋体"/>
                <w:sz w:val="18"/>
                <w:szCs w:val="18"/>
              </w:rPr>
              <w:t>除贷款公司、小额贷款公司、典当行以外的其他金融机构</w:t>
            </w: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textAlignment w:val="center"/>
              <w:rPr>
                <w:rFonts w:ascii="宋体" w:hAnsi="宋体" w:cs="宋体"/>
                <w:sz w:val="18"/>
                <w:szCs w:val="18"/>
              </w:rPr>
            </w:pPr>
            <w:r>
              <w:rPr>
                <w:rFonts w:hint="eastAsia" w:ascii="宋体" w:hAnsi="宋体" w:cs="宋体"/>
                <w:sz w:val="18"/>
                <w:szCs w:val="18"/>
              </w:rPr>
              <w:t>中型</w:t>
            </w:r>
          </w:p>
        </w:tc>
        <w:tc>
          <w:tcPr>
            <w:tcW w:w="3251" w:type="dxa"/>
            <w:tcBorders>
              <w:top w:val="single" w:color="auto" w:sz="4" w:space="0"/>
              <w:left w:val="single" w:color="auto" w:sz="4" w:space="0"/>
              <w:bottom w:val="single" w:color="auto" w:sz="4" w:space="0"/>
              <w:right w:val="nil"/>
            </w:tcBorders>
          </w:tcPr>
          <w:p>
            <w:pPr>
              <w:adjustRightInd w:val="0"/>
              <w:snapToGrid w:val="0"/>
              <w:textAlignment w:val="center"/>
              <w:rPr>
                <w:rFonts w:ascii="宋体" w:hAnsi="宋体" w:cs="宋体"/>
                <w:sz w:val="18"/>
                <w:szCs w:val="18"/>
              </w:rPr>
            </w:pPr>
            <w:r>
              <w:rPr>
                <w:rFonts w:hint="eastAsia" w:ascii="宋体" w:hAnsi="宋体" w:cs="宋体"/>
                <w:sz w:val="18"/>
                <w:szCs w:val="18"/>
              </w:rPr>
              <w:t>200亿元（含）至1000亿元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421" w:hRule="atLeast"/>
          <w:tblCellSpacing w:w="0" w:type="dxa"/>
        </w:trPr>
        <w:tc>
          <w:tcPr>
            <w:tcW w:w="1253" w:type="dxa"/>
            <w:vMerge w:val="continue"/>
            <w:tcBorders>
              <w:right w:val="single" w:color="auto" w:sz="4" w:space="0"/>
            </w:tcBorders>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textAlignment w:val="center"/>
              <w:rPr>
                <w:rFonts w:ascii="宋体" w:hAnsi="宋体" w:cs="宋体"/>
                <w:sz w:val="18"/>
                <w:szCs w:val="18"/>
              </w:rPr>
            </w:pPr>
            <w:r>
              <w:rPr>
                <w:rFonts w:hint="eastAsia" w:ascii="宋体" w:hAnsi="宋体" w:cs="宋体"/>
                <w:sz w:val="18"/>
                <w:szCs w:val="18"/>
              </w:rPr>
              <w:t>小型</w:t>
            </w:r>
          </w:p>
        </w:tc>
        <w:tc>
          <w:tcPr>
            <w:tcW w:w="3251" w:type="dxa"/>
            <w:tcBorders>
              <w:top w:val="single" w:color="auto" w:sz="4" w:space="0"/>
              <w:left w:val="single" w:color="auto" w:sz="4" w:space="0"/>
              <w:bottom w:val="single" w:color="auto" w:sz="4" w:space="0"/>
              <w:right w:val="nil"/>
            </w:tcBorders>
          </w:tcPr>
          <w:p>
            <w:pPr>
              <w:adjustRightInd w:val="0"/>
              <w:snapToGrid w:val="0"/>
              <w:textAlignment w:val="center"/>
              <w:rPr>
                <w:rFonts w:ascii="宋体" w:hAnsi="宋体" w:cs="宋体"/>
                <w:sz w:val="18"/>
                <w:szCs w:val="18"/>
              </w:rPr>
            </w:pPr>
            <w:r>
              <w:rPr>
                <w:rFonts w:hint="eastAsia" w:ascii="宋体" w:hAnsi="宋体" w:cs="宋体"/>
                <w:sz w:val="18"/>
                <w:szCs w:val="18"/>
              </w:rPr>
              <w:t>50亿元（含）至200亿元</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trHeight w:val="398" w:hRule="atLeast"/>
          <w:tblCellSpacing w:w="0" w:type="dxa"/>
        </w:trPr>
        <w:tc>
          <w:tcPr>
            <w:tcW w:w="1253" w:type="dxa"/>
            <w:vMerge w:val="continue"/>
            <w:tcBorders>
              <w:right w:val="single" w:color="auto" w:sz="4" w:space="0"/>
            </w:tcBorders>
          </w:tcPr>
          <w:p>
            <w:pPr>
              <w:adjustRightInd w:val="0"/>
              <w:snapToGrid w:val="0"/>
              <w:rPr>
                <w:rFonts w:ascii="宋体" w:hAnsi="宋体" w:cs="宋体"/>
                <w:sz w:val="18"/>
                <w:szCs w:val="18"/>
              </w:rPr>
            </w:pPr>
          </w:p>
        </w:tc>
        <w:tc>
          <w:tcPr>
            <w:tcW w:w="1961"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1820" w:type="dxa"/>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z w:val="18"/>
                <w:szCs w:val="18"/>
              </w:rPr>
            </w:pPr>
          </w:p>
        </w:tc>
        <w:tc>
          <w:tcPr>
            <w:tcW w:w="985" w:type="dxa"/>
            <w:tcBorders>
              <w:top w:val="single" w:color="auto" w:sz="4" w:space="0"/>
              <w:left w:val="single" w:color="auto" w:sz="4" w:space="0"/>
              <w:bottom w:val="single" w:color="auto" w:sz="4" w:space="0"/>
              <w:right w:val="single" w:color="auto" w:sz="4" w:space="0"/>
            </w:tcBorders>
          </w:tcPr>
          <w:p>
            <w:pPr>
              <w:adjustRightInd w:val="0"/>
              <w:snapToGrid w:val="0"/>
              <w:textAlignment w:val="center"/>
              <w:rPr>
                <w:rFonts w:ascii="宋体" w:hAnsi="宋体" w:cs="宋体"/>
                <w:sz w:val="18"/>
                <w:szCs w:val="18"/>
              </w:rPr>
            </w:pPr>
            <w:r>
              <w:rPr>
                <w:rFonts w:hint="eastAsia" w:ascii="宋体" w:hAnsi="宋体" w:cs="宋体"/>
                <w:sz w:val="18"/>
                <w:szCs w:val="18"/>
              </w:rPr>
              <w:t>微型</w:t>
            </w:r>
          </w:p>
        </w:tc>
        <w:tc>
          <w:tcPr>
            <w:tcW w:w="3251" w:type="dxa"/>
            <w:tcBorders>
              <w:top w:val="single" w:color="auto" w:sz="4" w:space="0"/>
              <w:left w:val="single" w:color="auto" w:sz="4" w:space="0"/>
              <w:bottom w:val="single" w:color="auto" w:sz="4" w:space="0"/>
              <w:right w:val="nil"/>
            </w:tcBorders>
          </w:tcPr>
          <w:p>
            <w:pPr>
              <w:adjustRightInd w:val="0"/>
              <w:snapToGrid w:val="0"/>
              <w:textAlignment w:val="center"/>
              <w:rPr>
                <w:rFonts w:ascii="宋体" w:hAnsi="宋体" w:cs="宋体"/>
                <w:sz w:val="18"/>
                <w:szCs w:val="18"/>
              </w:rPr>
            </w:pPr>
            <w:r>
              <w:rPr>
                <w:rFonts w:hint="eastAsia" w:ascii="宋体" w:hAnsi="宋体" w:cs="宋体"/>
                <w:sz w:val="18"/>
                <w:szCs w:val="18"/>
              </w:rPr>
              <w:t>50亿元以下</w:t>
            </w:r>
          </w:p>
        </w:tc>
      </w:tr>
    </w:tbl>
    <w:p>
      <w:pPr>
        <w:pStyle w:val="22"/>
        <w:adjustRightInd w:val="0"/>
        <w:spacing w:before="156" w:beforeLines="50"/>
        <w:ind w:firstLine="482" w:firstLineChars="200"/>
        <w:jc w:val="left"/>
        <w:rPr>
          <w:rFonts w:ascii="楷体" w:hAnsi="楷体" w:eastAsia="楷体"/>
          <w:b/>
          <w:bCs/>
          <w:color w:val="C00000"/>
          <w:sz w:val="30"/>
          <w:szCs w:val="30"/>
        </w:rPr>
      </w:pPr>
      <w:r>
        <w:rPr>
          <w:rFonts w:hint="eastAsia" w:ascii="仿宋" w:hAnsi="仿宋" w:eastAsia="仿宋" w:cs="仿宋"/>
          <w:b/>
          <w:bCs/>
          <w:color w:val="C00000"/>
        </w:rPr>
        <w:t>注：中型金融业企业标准上限即为大型金融业企业下限。</w:t>
      </w:r>
    </w:p>
    <w:p>
      <w:pPr>
        <w:pStyle w:val="22"/>
        <w:adjustRightInd w:val="0"/>
        <w:snapToGrid w:val="0"/>
        <w:spacing w:after="0" w:line="600" w:lineRule="exact"/>
        <w:ind w:firstLine="600" w:firstLineChars="200"/>
        <w:rPr>
          <w:rFonts w:ascii="楷体" w:hAnsi="楷体" w:eastAsia="楷体"/>
          <w:sz w:val="30"/>
          <w:szCs w:val="30"/>
        </w:rPr>
      </w:pPr>
      <w:r>
        <w:rPr>
          <w:rFonts w:hint="eastAsia" w:ascii="楷体" w:hAnsi="楷体" w:eastAsia="楷体"/>
          <w:sz w:val="30"/>
          <w:szCs w:val="30"/>
        </w:rPr>
        <w:t>（九）登记注册类型</w:t>
      </w:r>
    </w:p>
    <w:p>
      <w:pPr>
        <w:pStyle w:val="22"/>
        <w:adjustRightInd w:val="0"/>
        <w:snapToGrid w:val="0"/>
        <w:spacing w:after="0" w:line="312" w:lineRule="auto"/>
        <w:ind w:firstLine="600" w:firstLineChars="200"/>
        <w:rPr>
          <w:rFonts w:ascii="仿宋" w:hAnsi="仿宋" w:eastAsia="仿宋" w:cs="仿宋"/>
          <w:sz w:val="30"/>
          <w:szCs w:val="30"/>
        </w:rPr>
      </w:pPr>
      <w:r>
        <w:rPr>
          <w:rFonts w:hint="eastAsia" w:ascii="仿宋" w:hAnsi="仿宋" w:eastAsia="仿宋" w:cs="仿宋"/>
          <w:sz w:val="30"/>
          <w:szCs w:val="30"/>
        </w:rPr>
        <w:t>是指企业或生产经营性活动单位的登记注册类型，按其在市场监督管理部门登记注册的类型填写。根据国家统计局、原国家工商行政管理局《关于划分企业登记注册类型的规定》（国统字〔1998〕200号），企业登记注册的类型分为以下几种：</w:t>
      </w:r>
    </w:p>
    <w:tbl>
      <w:tblPr>
        <w:tblStyle w:val="17"/>
        <w:tblW w:w="8289"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956"/>
        <w:gridCol w:w="6226"/>
        <w:gridCol w:w="10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黑体"/>
                <w:kern w:val="0"/>
                <w:sz w:val="21"/>
                <w:szCs w:val="18"/>
              </w:rPr>
            </w:pPr>
            <w:r>
              <w:rPr>
                <w:rFonts w:hint="eastAsia" w:ascii="Times New Roman" w:eastAsia="黑体"/>
                <w:kern w:val="0"/>
                <w:sz w:val="21"/>
                <w:szCs w:val="18"/>
              </w:rPr>
              <w:t>（小类）</w:t>
            </w:r>
            <w:r>
              <w:rPr>
                <w:rFonts w:ascii="Times New Roman" w:eastAsia="黑体"/>
                <w:kern w:val="0"/>
                <w:sz w:val="21"/>
                <w:szCs w:val="18"/>
              </w:rPr>
              <w:t>代码</w:t>
            </w:r>
          </w:p>
        </w:tc>
        <w:tc>
          <w:tcPr>
            <w:tcW w:w="6309" w:type="dxa"/>
            <w:vAlign w:val="center"/>
          </w:tcPr>
          <w:p>
            <w:pPr>
              <w:pStyle w:val="22"/>
              <w:widowControl/>
              <w:snapToGrid w:val="0"/>
              <w:spacing w:after="0" w:line="240" w:lineRule="auto"/>
              <w:ind w:left="57" w:right="57"/>
              <w:rPr>
                <w:rFonts w:ascii="Times New Roman" w:eastAsia="黑体"/>
                <w:kern w:val="0"/>
                <w:sz w:val="21"/>
                <w:szCs w:val="18"/>
              </w:rPr>
            </w:pPr>
            <w:r>
              <w:rPr>
                <w:rFonts w:ascii="Times New Roman" w:eastAsia="黑体"/>
                <w:kern w:val="0"/>
                <w:sz w:val="21"/>
                <w:szCs w:val="18"/>
              </w:rPr>
              <w:t>企业登记注册类型</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8289" w:type="dxa"/>
            <w:gridSpan w:val="2"/>
            <w:vAlign w:val="center"/>
          </w:tcPr>
          <w:p>
            <w:pPr>
              <w:pStyle w:val="22"/>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110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国有企业</w:t>
            </w:r>
            <w:r>
              <w:rPr>
                <w:rFonts w:hint="eastAsia" w:ascii="Times New Roman" w:eastAsia="宋体"/>
                <w:kern w:val="0"/>
                <w:sz w:val="21"/>
                <w:szCs w:val="18"/>
              </w:rPr>
              <w:t>（不含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120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集体企业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130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股份合作企业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140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联营企业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150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有限责任公司</w:t>
            </w:r>
            <w:r>
              <w:rPr>
                <w:rFonts w:hint="eastAsia" w:ascii="Times New Roman" w:eastAsia="宋体"/>
                <w:kern w:val="0"/>
                <w:sz w:val="21"/>
                <w:szCs w:val="18"/>
              </w:rPr>
              <w:t>（含</w:t>
            </w:r>
            <w:r>
              <w:rPr>
                <w:rFonts w:ascii="Times New Roman" w:eastAsia="宋体"/>
                <w:kern w:val="0"/>
                <w:sz w:val="21"/>
                <w:szCs w:val="18"/>
              </w:rPr>
              <w:t>国有独资公司</w:t>
            </w:r>
            <w:r>
              <w:rPr>
                <w:rFonts w:hint="eastAsia" w:ascii="Times New Roman" w:eastAsia="宋体"/>
                <w:kern w:val="0"/>
                <w:sz w:val="21"/>
                <w:szCs w:val="18"/>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160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170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私营企业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190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其他内资企业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8289" w:type="dxa"/>
            <w:gridSpan w:val="2"/>
            <w:vAlign w:val="center"/>
          </w:tcPr>
          <w:p>
            <w:pPr>
              <w:pStyle w:val="22"/>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港、澳、台商投资企业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210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合资经营企业（港或澳、台资）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220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合作经营企业（港或澳、台资）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230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港、澳、台商独资经营企业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240</w:t>
            </w:r>
          </w:p>
        </w:tc>
        <w:tc>
          <w:tcPr>
            <w:tcW w:w="6309" w:type="dxa"/>
            <w:gridSpan w:val="2"/>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港、澳、台商投资股份有限公司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hint="eastAsia" w:ascii="Times New Roman" w:eastAsia="宋体"/>
                <w:kern w:val="0"/>
                <w:sz w:val="21"/>
                <w:szCs w:val="18"/>
              </w:rPr>
              <w:t xml:space="preserve">290 </w:t>
            </w:r>
          </w:p>
        </w:tc>
        <w:tc>
          <w:tcPr>
            <w:tcW w:w="6309" w:type="dxa"/>
            <w:gridSpan w:val="2"/>
            <w:vAlign w:val="center"/>
          </w:tcPr>
          <w:p>
            <w:pPr>
              <w:pStyle w:val="22"/>
              <w:widowControl/>
              <w:snapToGrid w:val="0"/>
              <w:spacing w:after="0" w:line="240" w:lineRule="auto"/>
              <w:ind w:left="57" w:right="57"/>
              <w:rPr>
                <w:rFonts w:ascii="Times New Roman" w:eastAsia="宋体"/>
                <w:kern w:val="0"/>
                <w:sz w:val="21"/>
                <w:szCs w:val="18"/>
              </w:rPr>
            </w:pPr>
            <w:r>
              <w:rPr>
                <w:rFonts w:hint="eastAsia" w:ascii="Times New Roman" w:eastAsia="宋体"/>
                <w:kern w:val="0"/>
                <w:sz w:val="21"/>
                <w:szCs w:val="18"/>
              </w:rPr>
              <w:t>其他港、澳、台商投资企业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8289" w:type="dxa"/>
            <w:gridSpan w:val="2"/>
            <w:vAlign w:val="center"/>
          </w:tcPr>
          <w:p>
            <w:pPr>
              <w:pStyle w:val="22"/>
              <w:widowControl/>
              <w:snapToGrid w:val="0"/>
              <w:spacing w:after="0" w:line="240" w:lineRule="auto"/>
              <w:ind w:left="57" w:right="57"/>
              <w:rPr>
                <w:rFonts w:ascii="Times New Roman" w:eastAsia="宋体"/>
                <w:b/>
                <w:kern w:val="0"/>
                <w:sz w:val="21"/>
                <w:szCs w:val="18"/>
              </w:rPr>
            </w:pPr>
            <w:r>
              <w:rPr>
                <w:rFonts w:ascii="Times New Roman" w:eastAsia="宋体"/>
                <w:b/>
                <w:kern w:val="0"/>
                <w:sz w:val="21"/>
                <w:szCs w:val="18"/>
              </w:rPr>
              <w:t>外商投资企业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25"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310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中外合资经营企业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320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中外合作经营企业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330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外资企业</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108" w:type="dxa"/>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340</w:t>
            </w:r>
          </w:p>
        </w:tc>
        <w:tc>
          <w:tcPr>
            <w:tcW w:w="6309" w:type="dxa"/>
            <w:vAlign w:val="center"/>
          </w:tcPr>
          <w:p>
            <w:pPr>
              <w:pStyle w:val="22"/>
              <w:widowControl/>
              <w:snapToGrid w:val="0"/>
              <w:spacing w:after="0" w:line="240" w:lineRule="auto"/>
              <w:ind w:left="57" w:right="57"/>
              <w:rPr>
                <w:rFonts w:ascii="Times New Roman" w:eastAsia="宋体"/>
                <w:kern w:val="0"/>
                <w:sz w:val="21"/>
                <w:szCs w:val="18"/>
              </w:rPr>
            </w:pPr>
            <w:r>
              <w:rPr>
                <w:rFonts w:ascii="Times New Roman" w:eastAsia="宋体"/>
                <w:kern w:val="0"/>
                <w:sz w:val="21"/>
                <w:szCs w:val="18"/>
              </w:rPr>
              <w:t>外商投资股份有限公司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980" w:type="dxa"/>
            <w:vAlign w:val="center"/>
          </w:tcPr>
          <w:p>
            <w:pPr>
              <w:pStyle w:val="22"/>
              <w:widowControl/>
              <w:snapToGrid w:val="0"/>
              <w:spacing w:after="0" w:line="240" w:lineRule="auto"/>
              <w:ind w:left="57" w:right="57"/>
              <w:rPr>
                <w:rFonts w:ascii="Times New Roman" w:eastAsia="宋体"/>
                <w:kern w:val="0"/>
                <w:sz w:val="21"/>
                <w:szCs w:val="18"/>
              </w:rPr>
            </w:pPr>
            <w:r>
              <w:rPr>
                <w:rFonts w:hint="eastAsia" w:ascii="Times New Roman" w:eastAsia="宋体"/>
                <w:kern w:val="0"/>
                <w:sz w:val="21"/>
                <w:szCs w:val="18"/>
              </w:rPr>
              <w:t xml:space="preserve">390 </w:t>
            </w:r>
          </w:p>
        </w:tc>
        <w:tc>
          <w:tcPr>
            <w:tcW w:w="6309" w:type="dxa"/>
            <w:gridSpan w:val="2"/>
            <w:vAlign w:val="center"/>
          </w:tcPr>
          <w:p>
            <w:pPr>
              <w:pStyle w:val="22"/>
              <w:widowControl/>
              <w:snapToGrid w:val="0"/>
              <w:spacing w:after="0" w:line="240" w:lineRule="auto"/>
              <w:ind w:left="57" w:right="57"/>
              <w:rPr>
                <w:rFonts w:ascii="Times New Roman" w:eastAsia="宋体"/>
                <w:kern w:val="0"/>
                <w:sz w:val="21"/>
                <w:szCs w:val="18"/>
              </w:rPr>
            </w:pPr>
            <w:r>
              <w:rPr>
                <w:rFonts w:hint="eastAsia" w:ascii="Times New Roman" w:eastAsia="宋体"/>
                <w:kern w:val="0"/>
                <w:sz w:val="21"/>
                <w:szCs w:val="18"/>
              </w:rPr>
              <w:t>其他外商投资企业</w:t>
            </w:r>
          </w:p>
        </w:tc>
      </w:tr>
    </w:tbl>
    <w:p>
      <w:pPr>
        <w:pStyle w:val="22"/>
        <w:ind w:right="-1331" w:rightChars="-634"/>
        <w:rPr>
          <w:rFonts w:ascii="Times New Roman" w:eastAsia="宋体"/>
          <w:sz w:val="18"/>
          <w:szCs w:val="28"/>
        </w:rPr>
      </w:pP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国有企业，指企业全部资产归国家所有，并按《中华人民共和国企业法人登记管理条例》规定登记注册的非公司制的经济组织。不包括有限责任公司中的国有独资公司。</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集体企业，指企业资产归集体所有，并按《中华人民共和国企业法人登记管理条例》规定登记注册的经济组织。</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股份合作企业，指以合作制为基础，由企业职工共同出资入股，吸收一定比例的社会资产投资组建，实行自主经营，自负盈亏，共同劳动，民主管理，按劳分配与按股分红相结合的一种集体经济组织。</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联营企业，指两个及两个以上相同或不同所有制性质的企业法人或事业单位法人，按自愿、平等、互利的原则，共同投资组成的经济组织。包括国有联营企业、集体联营企业、国有与集体联营企业和其他联营企业。国有联营企业,指所有联营单位均为国有。集体联营企业,指所有联营单位均为集体。国有与集体联营企业,指联营单位既有国有也有集体。其他联营企业,指上述三种联营企业之外的其他联营形式的企业。</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有限责任公司，根据《中华人民共和国公司登记管理条例》规定登记注册，由两个以上，五十个以下的股东共同出资，每个股东以其所认缴的出资额对公司承担有限责任，公司以其全部资产对其债务承担责任的经济组织称为有限责任公司。有限责任公司分为国有独资公司以及其他有限责任公司。国有独资公司是指国家授权的投资机构或者国家授权的部门单独投资设立的有限责任公司。</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私营企业，指由自然人投资设立或由自然人控股，以雇佣劳动为基础的营利性经济组织称为私营企业。包括按照</w:t>
      </w:r>
      <w:r>
        <w:rPr>
          <w:rFonts w:hint="eastAsia" w:ascii="仿宋" w:hAnsi="仿宋" w:eastAsia="仿宋" w:cs="仿宋"/>
          <w:sz w:val="30"/>
          <w:szCs w:val="30"/>
          <w:lang w:eastAsia="zh-CN"/>
        </w:rPr>
        <w:t>《中华人民共和国公司法》</w:t>
      </w:r>
      <w:r>
        <w:rPr>
          <w:rFonts w:hint="eastAsia" w:ascii="仿宋" w:hAnsi="仿宋" w:eastAsia="仿宋" w:cs="仿宋"/>
          <w:sz w:val="30"/>
          <w:szCs w:val="30"/>
        </w:rPr>
        <w:t>、</w:t>
      </w:r>
      <w:r>
        <w:rPr>
          <w:rFonts w:hint="eastAsia" w:ascii="仿宋" w:hAnsi="仿宋" w:eastAsia="仿宋" w:cs="仿宋"/>
          <w:sz w:val="30"/>
          <w:szCs w:val="30"/>
          <w:lang w:eastAsia="zh-CN"/>
        </w:rPr>
        <w:t>《中华人民共和国合伙企业法》</w:t>
      </w:r>
      <w:r>
        <w:rPr>
          <w:rFonts w:hint="eastAsia" w:ascii="仿宋" w:hAnsi="仿宋" w:eastAsia="仿宋" w:cs="仿宋"/>
          <w:sz w:val="30"/>
          <w:szCs w:val="30"/>
        </w:rPr>
        <w:t>、《私营企业暂行条例》以及</w:t>
      </w:r>
      <w:r>
        <w:rPr>
          <w:rFonts w:hint="eastAsia" w:ascii="仿宋" w:hAnsi="仿宋" w:eastAsia="仿宋" w:cs="仿宋"/>
          <w:sz w:val="30"/>
          <w:szCs w:val="30"/>
          <w:lang w:eastAsia="zh-CN"/>
        </w:rPr>
        <w:t>《中华人民共和国个人独资企业法》</w:t>
      </w:r>
      <w:r>
        <w:rPr>
          <w:rFonts w:hint="eastAsia" w:ascii="仿宋" w:hAnsi="仿宋" w:eastAsia="仿宋" w:cs="仿宋"/>
          <w:sz w:val="30"/>
          <w:szCs w:val="30"/>
        </w:rPr>
        <w:t>规定登记注册的私营独资企业、私营有限责任公司、私营股份有限公司、私营合伙企业和个人独资企业。私营独资企业是指按《私营企业暂行条例》的规定，由一名自然人投资经营，以雇佣劳动为基础，投资者对企业债务承担无限责任的企业。私营有限责任公司是指按</w:t>
      </w:r>
      <w:r>
        <w:rPr>
          <w:rFonts w:hint="eastAsia" w:ascii="仿宋" w:hAnsi="仿宋" w:eastAsia="仿宋" w:cs="仿宋"/>
          <w:sz w:val="30"/>
          <w:szCs w:val="30"/>
          <w:lang w:eastAsia="zh-CN"/>
        </w:rPr>
        <w:t>《中华人民共和国公司法》</w:t>
      </w:r>
      <w:r>
        <w:rPr>
          <w:rFonts w:hint="eastAsia" w:ascii="仿宋" w:hAnsi="仿宋" w:eastAsia="仿宋" w:cs="仿宋"/>
          <w:sz w:val="30"/>
          <w:szCs w:val="30"/>
        </w:rPr>
        <w:t>、《私营企业暂行条例》的规定，由两个以上自然人投资或由单个自然人控股的有限责任公司。私营股份有限公司是指按</w:t>
      </w:r>
      <w:r>
        <w:rPr>
          <w:rFonts w:hint="eastAsia" w:ascii="仿宋" w:hAnsi="仿宋" w:eastAsia="仿宋" w:cs="仿宋"/>
          <w:sz w:val="30"/>
          <w:szCs w:val="30"/>
          <w:lang w:eastAsia="zh-CN"/>
        </w:rPr>
        <w:t>《中华人民共和国公司法》</w:t>
      </w:r>
      <w:r>
        <w:rPr>
          <w:rFonts w:hint="eastAsia" w:ascii="仿宋" w:hAnsi="仿宋" w:eastAsia="仿宋" w:cs="仿宋"/>
          <w:sz w:val="30"/>
          <w:szCs w:val="30"/>
        </w:rPr>
        <w:t>的规定，由五个以上自然人投资，或由单个自然人控股的股份有限公司。</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其他（内资）企业，指上述企业之外的其他内资经济组织。</w:t>
      </w:r>
    </w:p>
    <w:p>
      <w:pPr>
        <w:pStyle w:val="22"/>
        <w:numPr>
          <w:ilvl w:val="0"/>
          <w:numId w:val="2"/>
        </w:numPr>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港、澳、台商投资企业包括：（1）合资经营企业（港或澳、台资）是指港澳台地区投资者与内地企业依照《中华人民共和国中外合资经营企业法》及有关法律的规定，按合同规定的比例投资设立、分享利润和分担风险的企业。（2）合作经营企业（港或澳、台资）是指港澳台地区投资者与内地企业依照《中华人民共和国中外合作经营企业法》及有关法律的规定，依照合作合同的约定进行投资或提供条件设立、分配利润和分担风险的企业。（3）港、澳、台商独资经营企业是指依照《中华人民共和国外资企业法》及有关法律的规定，在内地由港澳台地区投资者全额投资设立的企业。（4）港、澳、台商投资股份有限公司是指根据国家有关规定，经商务部依法批准设立，其中港、澳、台商的股本占公司注册资本的比例达25%以上的股份有限公司。凡其中港、澳、台商的股本占公司注册资本的比例小于25%的，属于内资企业中的股份有限公司。</w:t>
      </w:r>
    </w:p>
    <w:p>
      <w:pPr>
        <w:pStyle w:val="22"/>
        <w:adjustRightInd w:val="0"/>
        <w:snapToGrid w:val="0"/>
        <w:spacing w:after="0" w:line="312" w:lineRule="auto"/>
        <w:ind w:firstLine="705" w:firstLineChars="235"/>
        <w:rPr>
          <w:rFonts w:ascii="仿宋" w:hAnsi="仿宋" w:eastAsia="仿宋" w:cs="仿宋"/>
          <w:sz w:val="30"/>
          <w:szCs w:val="30"/>
        </w:rPr>
      </w:pPr>
      <w:r>
        <w:rPr>
          <w:rFonts w:hint="eastAsia" w:ascii="仿宋" w:hAnsi="仿宋" w:eastAsia="仿宋" w:cs="仿宋"/>
          <w:sz w:val="30"/>
          <w:szCs w:val="30"/>
        </w:rPr>
        <w:t>外商投资企业包括：（1）中外合资经营企业是指外国企业或外国人与中国内地企业依照《中华人民共和国中外合资经营企业法》及有关法律的规定，按合同规定的比例投资设立、分享利润和分担风险的企业。（2）中外合作经营企业是指外国企业或外国人与中国内地企业依照《中华人民共和国中外合作经营企业法》及有关法律的规定，依照合作合同的约定进行投资或提供条件设立、分配利润和分担风险的企业。（3）外资企业是指依照《中华人民共和国外资企业法》及有关法律的规定，在中国内地由外国投资者全额投资设立的企业。（4）外商投资股份有限公司是指根据国家有关规定，经商务部依法批准设立，其中外资的股本占公司注册资本的比例达25% 以上的股份有限公司。凡其中外资股本占公司注册资本的比例小于25%的，属于内资企业中的股份有限公司。</w:t>
      </w:r>
    </w:p>
    <w:p>
      <w:pPr>
        <w:pStyle w:val="22"/>
        <w:adjustRightInd w:val="0"/>
        <w:snapToGrid w:val="0"/>
        <w:spacing w:after="0" w:line="312" w:lineRule="auto"/>
        <w:ind w:firstLine="708" w:firstLineChars="235"/>
        <w:rPr>
          <w:rFonts w:ascii="仿宋" w:hAnsi="仿宋" w:eastAsia="仿宋" w:cs="仿宋"/>
          <w:sz w:val="30"/>
          <w:szCs w:val="30"/>
        </w:rPr>
      </w:pPr>
      <w:r>
        <w:rPr>
          <w:rFonts w:hint="eastAsia" w:ascii="仿宋" w:hAnsi="仿宋" w:eastAsia="仿宋" w:cs="仿宋"/>
          <w:b/>
          <w:bCs/>
          <w:color w:val="C00000"/>
          <w:sz w:val="30"/>
          <w:szCs w:val="30"/>
          <w:shd w:val="clear" w:color="auto" w:fill="FFFFFF"/>
        </w:rPr>
        <w:t>填报要求：必填，在系统中选择，</w:t>
      </w:r>
      <w:r>
        <w:rPr>
          <w:rFonts w:hint="eastAsia" w:ascii="仿宋" w:hAnsi="仿宋" w:eastAsia="仿宋" w:cs="仿宋"/>
          <w:b/>
          <w:bCs/>
          <w:color w:val="C00000"/>
          <w:sz w:val="30"/>
          <w:szCs w:val="30"/>
          <w:shd w:val="clear" w:color="auto" w:fill="FFFFFF"/>
          <w:lang w:val="zh-CN"/>
        </w:rPr>
        <w:t>填写小类代码，不可填写100、200、300</w:t>
      </w:r>
      <w:r>
        <w:rPr>
          <w:rFonts w:hint="eastAsia" w:ascii="仿宋" w:hAnsi="仿宋" w:eastAsia="仿宋" w:cs="仿宋"/>
          <w:b/>
          <w:bCs/>
          <w:color w:val="C00000"/>
          <w:sz w:val="30"/>
          <w:szCs w:val="30"/>
          <w:shd w:val="clear" w:color="auto" w:fill="FFFFFF"/>
        </w:rPr>
        <w:t>。</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（十）企业从业人员平均人数</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从业人员是指在企业取得工资或其他形式的劳动报酬的全部人员，包括企业使用的“在岗职工”和“劳务派遣人员”和“其他从业人员”三类。从业人员不包括：（1）离开本单位仍保留劳动关系的并定期领取生活费的人员；（2）利用课余时间打工的学生及本单位实习的各类在校学生；（3）本单位因劳务外包而使用的人员，如：建筑业整建制使用的人员；（4）本单位使用的共享用工人员（由原单位统计）。</w:t>
      </w:r>
    </w:p>
    <w:p>
      <w:pPr>
        <w:pStyle w:val="22"/>
        <w:adjustRightInd w:val="0"/>
        <w:snapToGrid w:val="0"/>
        <w:spacing w:after="0" w:line="360" w:lineRule="auto"/>
        <w:ind w:firstLine="602" w:firstLineChars="200"/>
        <w:rPr>
          <w:rFonts w:ascii="仿宋" w:hAnsi="仿宋" w:eastAsia="仿宋" w:cs="仿宋"/>
          <w:b/>
          <w:color w:val="C00000"/>
          <w:sz w:val="30"/>
          <w:szCs w:val="30"/>
        </w:rPr>
      </w:pPr>
      <w:r>
        <w:rPr>
          <w:rFonts w:hint="eastAsia" w:ascii="仿宋" w:hAnsi="仿宋" w:eastAsia="仿宋" w:cs="仿宋"/>
          <w:b/>
          <w:bCs/>
          <w:color w:val="C00000"/>
          <w:sz w:val="30"/>
          <w:szCs w:val="30"/>
        </w:rPr>
        <w:t>填报要求：企业从业人员平均人数及其所包含的 “在岗职工”和“劳务派遣人员”2个分项，均为必填项。 “企业从业人员平均人数”和 “在岗职工”应为大于等于零的数值。“劳务派遣人员”为大于等于零的数值，企业上年全年均未使用劳务派遣人员的，填零。</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其中:</w:t>
      </w:r>
    </w:p>
    <w:p>
      <w:pPr>
        <w:pStyle w:val="22"/>
        <w:numPr>
          <w:ilvl w:val="0"/>
          <w:numId w:val="3"/>
        </w:numPr>
        <w:adjustRightInd w:val="0"/>
        <w:snapToGrid w:val="0"/>
        <w:spacing w:after="0" w:line="360" w:lineRule="auto"/>
        <w:rPr>
          <w:rFonts w:ascii="仿宋" w:hAnsi="仿宋" w:eastAsia="仿宋" w:cs="仿宋"/>
          <w:sz w:val="30"/>
          <w:szCs w:val="30"/>
        </w:rPr>
      </w:pPr>
      <w:r>
        <w:rPr>
          <w:rFonts w:hint="eastAsia" w:ascii="仿宋" w:hAnsi="仿宋" w:eastAsia="仿宋" w:cs="仿宋"/>
          <w:b/>
          <w:bCs/>
          <w:sz w:val="30"/>
          <w:szCs w:val="30"/>
        </w:rPr>
        <w:t>在岗职工</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指在本单位工作且与本单位（含所属单位）签订劳动合同，并由本单位支付各项工资和社会保险、住房公积金的人员。以“谁发工资谁统计”为基本原则统计。包括：</w:t>
      </w:r>
    </w:p>
    <w:p>
      <w:pPr>
        <w:pStyle w:val="22"/>
        <w:numPr>
          <w:ilvl w:val="0"/>
          <w:numId w:val="4"/>
        </w:numPr>
        <w:tabs>
          <w:tab w:val="left" w:pos="993"/>
          <w:tab w:val="left" w:pos="1134"/>
          <w:tab w:val="left" w:pos="1418"/>
        </w:tabs>
        <w:autoSpaceDE w:val="0"/>
        <w:autoSpaceDN w:val="0"/>
        <w:adjustRightInd w:val="0"/>
        <w:snapToGrid w:val="0"/>
        <w:spacing w:after="0" w:line="360" w:lineRule="auto"/>
        <w:ind w:left="0" w:firstLine="708" w:firstLineChars="236"/>
        <w:rPr>
          <w:rFonts w:ascii="仿宋" w:hAnsi="仿宋" w:eastAsia="仿宋" w:cs="仿宋"/>
          <w:sz w:val="30"/>
          <w:szCs w:val="30"/>
        </w:rPr>
      </w:pPr>
      <w:r>
        <w:rPr>
          <w:rFonts w:hint="eastAsia" w:ascii="仿宋" w:hAnsi="仿宋" w:eastAsia="仿宋" w:cs="仿宋"/>
          <w:sz w:val="30"/>
          <w:szCs w:val="30"/>
        </w:rPr>
        <w:t>上述人员中由于学习、病伤、产假等原因暂未工作仍由本单位支付工资的人员。</w:t>
      </w:r>
    </w:p>
    <w:p>
      <w:pPr>
        <w:pStyle w:val="22"/>
        <w:numPr>
          <w:ilvl w:val="0"/>
          <w:numId w:val="4"/>
        </w:numPr>
        <w:tabs>
          <w:tab w:val="left" w:pos="993"/>
          <w:tab w:val="left" w:pos="1134"/>
          <w:tab w:val="left" w:pos="1418"/>
        </w:tabs>
        <w:autoSpaceDE w:val="0"/>
        <w:autoSpaceDN w:val="0"/>
        <w:adjustRightInd w:val="0"/>
        <w:snapToGrid w:val="0"/>
        <w:spacing w:after="0" w:line="360" w:lineRule="auto"/>
        <w:ind w:left="0" w:firstLine="708" w:firstLineChars="236"/>
        <w:rPr>
          <w:rFonts w:ascii="仿宋" w:hAnsi="仿宋" w:eastAsia="仿宋" w:cs="仿宋"/>
          <w:sz w:val="30"/>
          <w:szCs w:val="30"/>
        </w:rPr>
      </w:pPr>
      <w:r>
        <w:rPr>
          <w:rFonts w:hint="eastAsia" w:ascii="仿宋" w:hAnsi="仿宋" w:eastAsia="仿宋" w:cs="仿宋"/>
          <w:sz w:val="30"/>
          <w:szCs w:val="30"/>
        </w:rPr>
        <w:t>应当签订而未签订合同人员</w:t>
      </w:r>
    </w:p>
    <w:p>
      <w:pPr>
        <w:pStyle w:val="22"/>
        <w:numPr>
          <w:ilvl w:val="0"/>
          <w:numId w:val="4"/>
        </w:numPr>
        <w:tabs>
          <w:tab w:val="left" w:pos="993"/>
          <w:tab w:val="left" w:pos="1134"/>
          <w:tab w:val="left" w:pos="1418"/>
        </w:tabs>
        <w:autoSpaceDE w:val="0"/>
        <w:autoSpaceDN w:val="0"/>
        <w:adjustRightInd w:val="0"/>
        <w:snapToGrid w:val="0"/>
        <w:spacing w:after="0" w:line="360" w:lineRule="auto"/>
        <w:ind w:left="0" w:firstLine="708" w:firstLineChars="236"/>
        <w:rPr>
          <w:rFonts w:ascii="仿宋" w:hAnsi="仿宋" w:eastAsia="仿宋" w:cs="仿宋"/>
          <w:sz w:val="30"/>
          <w:szCs w:val="30"/>
        </w:rPr>
      </w:pPr>
      <w:r>
        <w:rPr>
          <w:rFonts w:hint="eastAsia" w:ascii="仿宋" w:hAnsi="仿宋" w:eastAsia="仿宋" w:cs="仿宋"/>
          <w:sz w:val="30"/>
          <w:szCs w:val="30"/>
        </w:rPr>
        <w:t>处于试用期的人员</w:t>
      </w:r>
    </w:p>
    <w:p>
      <w:pPr>
        <w:pStyle w:val="22"/>
        <w:numPr>
          <w:ilvl w:val="0"/>
          <w:numId w:val="4"/>
        </w:numPr>
        <w:tabs>
          <w:tab w:val="left" w:pos="993"/>
          <w:tab w:val="left" w:pos="1134"/>
          <w:tab w:val="left" w:pos="1418"/>
        </w:tabs>
        <w:autoSpaceDE w:val="0"/>
        <w:autoSpaceDN w:val="0"/>
        <w:adjustRightInd w:val="0"/>
        <w:snapToGrid w:val="0"/>
        <w:spacing w:after="0" w:line="360" w:lineRule="auto"/>
        <w:ind w:left="0" w:firstLine="708" w:firstLineChars="236"/>
        <w:rPr>
          <w:rFonts w:ascii="仿宋" w:hAnsi="仿宋" w:eastAsia="仿宋" w:cs="仿宋"/>
          <w:sz w:val="30"/>
          <w:szCs w:val="30"/>
        </w:rPr>
      </w:pPr>
      <w:r>
        <w:rPr>
          <w:rFonts w:hint="eastAsia" w:ascii="仿宋" w:hAnsi="仿宋" w:eastAsia="仿宋" w:cs="仿宋"/>
          <w:sz w:val="30"/>
          <w:szCs w:val="30"/>
        </w:rPr>
        <w:t>编制外招用的临时用工人员。</w:t>
      </w:r>
    </w:p>
    <w:p>
      <w:pPr>
        <w:pStyle w:val="22"/>
        <w:numPr>
          <w:ilvl w:val="0"/>
          <w:numId w:val="4"/>
        </w:numPr>
        <w:tabs>
          <w:tab w:val="left" w:pos="993"/>
          <w:tab w:val="left" w:pos="1134"/>
          <w:tab w:val="left" w:pos="1418"/>
        </w:tabs>
        <w:autoSpaceDE w:val="0"/>
        <w:autoSpaceDN w:val="0"/>
        <w:adjustRightInd w:val="0"/>
        <w:snapToGrid w:val="0"/>
        <w:spacing w:after="0" w:line="360" w:lineRule="auto"/>
        <w:ind w:left="0" w:firstLine="708" w:firstLineChars="236"/>
        <w:rPr>
          <w:rFonts w:ascii="仿宋" w:hAnsi="仿宋" w:eastAsia="仿宋" w:cs="仿宋"/>
          <w:sz w:val="30"/>
          <w:szCs w:val="30"/>
        </w:rPr>
      </w:pPr>
      <w:r>
        <w:rPr>
          <w:rFonts w:hint="eastAsia" w:ascii="仿宋" w:hAnsi="仿宋" w:eastAsia="仿宋" w:cs="仿宋"/>
          <w:sz w:val="30"/>
          <w:szCs w:val="30"/>
          <w:lang w:bidi="en-US"/>
        </w:rPr>
        <w:t>派往外单位工作但工资仍由本单位发放的人员，如挂职锻炼、外派工作等。</w:t>
      </w:r>
    </w:p>
    <w:p>
      <w:pPr>
        <w:pStyle w:val="22"/>
        <w:tabs>
          <w:tab w:val="left" w:pos="993"/>
        </w:tabs>
        <w:autoSpaceDE w:val="0"/>
        <w:autoSpaceDN w:val="0"/>
        <w:adjustRightInd w:val="0"/>
        <w:snapToGrid w:val="0"/>
        <w:spacing w:after="0" w:line="360" w:lineRule="auto"/>
        <w:ind w:firstLine="567" w:firstLineChars="189"/>
        <w:rPr>
          <w:rFonts w:ascii="仿宋" w:hAnsi="仿宋" w:eastAsia="仿宋" w:cs="仿宋"/>
          <w:sz w:val="30"/>
          <w:szCs w:val="30"/>
        </w:rPr>
      </w:pPr>
      <w:r>
        <w:rPr>
          <w:rFonts w:hint="eastAsia" w:ascii="仿宋" w:hAnsi="仿宋" w:eastAsia="仿宋" w:cs="仿宋"/>
          <w:sz w:val="30"/>
          <w:szCs w:val="30"/>
        </w:rPr>
        <w:t>特别提示：</w:t>
      </w:r>
    </w:p>
    <w:p>
      <w:pPr>
        <w:pStyle w:val="22"/>
        <w:tabs>
          <w:tab w:val="left" w:pos="993"/>
        </w:tabs>
        <w:autoSpaceDE w:val="0"/>
        <w:autoSpaceDN w:val="0"/>
        <w:adjustRightInd w:val="0"/>
        <w:snapToGrid w:val="0"/>
        <w:spacing w:after="0" w:line="360" w:lineRule="auto"/>
        <w:ind w:firstLine="567" w:firstLineChars="189"/>
        <w:rPr>
          <w:rFonts w:ascii="仿宋" w:hAnsi="仿宋" w:eastAsia="仿宋" w:cs="仿宋"/>
          <w:sz w:val="30"/>
          <w:szCs w:val="30"/>
        </w:rPr>
      </w:pPr>
      <w:r>
        <w:rPr>
          <w:rFonts w:hint="eastAsia" w:ascii="仿宋" w:hAnsi="仿宋" w:eastAsia="仿宋" w:cs="仿宋"/>
          <w:sz w:val="30"/>
          <w:szCs w:val="30"/>
        </w:rPr>
        <w:t>①本单位实际使用的、无论是否由本单位直接支付劳动报酬的劳务派遣人员，均应当统计在本单位“劳务派遣人员”指标中；</w:t>
      </w:r>
    </w:p>
    <w:p>
      <w:pPr>
        <w:pStyle w:val="22"/>
        <w:tabs>
          <w:tab w:val="left" w:pos="993"/>
        </w:tabs>
        <w:autoSpaceDE w:val="0"/>
        <w:autoSpaceDN w:val="0"/>
        <w:adjustRightInd w:val="0"/>
        <w:snapToGrid w:val="0"/>
        <w:spacing w:after="0" w:line="360" w:lineRule="auto"/>
        <w:ind w:firstLine="567" w:firstLineChars="189"/>
        <w:rPr>
          <w:rFonts w:ascii="仿宋" w:hAnsi="仿宋" w:eastAsia="仿宋" w:cs="仿宋"/>
          <w:sz w:val="30"/>
          <w:szCs w:val="30"/>
        </w:rPr>
      </w:pPr>
      <w:r>
        <w:rPr>
          <w:rFonts w:hint="eastAsia" w:ascii="仿宋" w:hAnsi="仿宋" w:eastAsia="仿宋" w:cs="仿宋"/>
          <w:sz w:val="30"/>
          <w:szCs w:val="30"/>
        </w:rPr>
        <w:t>②本单位因劳务外包而使用的人员，由承包劳务的法人单位统计为在岗职工。如承包劳务的是个体经营户或自然人，均不包括在本制度统计范围内。</w:t>
      </w:r>
    </w:p>
    <w:p>
      <w:pPr>
        <w:pStyle w:val="22"/>
        <w:adjustRightInd w:val="0"/>
        <w:snapToGrid w:val="0"/>
        <w:spacing w:after="0"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 xml:space="preserve"> 2.“劳务派遣人员”</w:t>
      </w:r>
    </w:p>
    <w:p>
      <w:pPr>
        <w:pStyle w:val="22"/>
        <w:adjustRightInd w:val="0"/>
        <w:snapToGrid w:val="0"/>
        <w:spacing w:after="0" w:line="360" w:lineRule="auto"/>
        <w:ind w:firstLine="600" w:firstLineChars="200"/>
        <w:rPr>
          <w:rFonts w:ascii="仿宋" w:hAnsi="仿宋" w:eastAsia="仿宋" w:cs="仿宋"/>
          <w:b/>
          <w:bCs/>
          <w:color w:val="C00000"/>
          <w:sz w:val="30"/>
          <w:szCs w:val="30"/>
        </w:rPr>
      </w:pPr>
      <w:r>
        <w:rPr>
          <w:rFonts w:hint="eastAsia" w:ascii="仿宋" w:hAnsi="仿宋" w:eastAsia="仿宋" w:cs="仿宋"/>
          <w:sz w:val="30"/>
          <w:szCs w:val="30"/>
        </w:rPr>
        <w:t>指与劳务派遣单位签</w:t>
      </w:r>
      <w:r>
        <w:rPr>
          <w:rFonts w:hint="eastAsia" w:ascii="仿宋" w:hAnsi="仿宋" w:eastAsia="仿宋" w:cs="仿宋"/>
          <w:sz w:val="30"/>
          <w:szCs w:val="30"/>
          <w:lang w:eastAsia="zh-CN"/>
        </w:rPr>
        <w:t>订</w:t>
      </w:r>
      <w:r>
        <w:rPr>
          <w:rFonts w:hint="eastAsia" w:ascii="仿宋" w:hAnsi="仿宋" w:eastAsia="仿宋" w:cs="仿宋"/>
          <w:sz w:val="30"/>
          <w:szCs w:val="30"/>
        </w:rPr>
        <w:t>劳动合同，并被劳务派遣单位派遣到实际用工企业工作，且劳务派遣单位与实际用工企业签定《劳务派遣协议》的人员。</w:t>
      </w:r>
      <w:r>
        <w:rPr>
          <w:rFonts w:hint="eastAsia" w:ascii="仿宋" w:hAnsi="仿宋" w:eastAsia="仿宋" w:cs="仿宋"/>
          <w:b/>
          <w:bCs/>
          <w:color w:val="C00000"/>
          <w:sz w:val="30"/>
          <w:szCs w:val="30"/>
        </w:rPr>
        <w:t>劳务派遣人员人数按照“谁用工谁统计”原则统计填报，即无论用工单位是否直接支付劳动报酬，劳务派遣人员均由实际用工单位填报，劳务派遣单位（派出单位）不填报这些人员。</w:t>
      </w:r>
    </w:p>
    <w:p>
      <w:pPr>
        <w:pStyle w:val="22"/>
        <w:adjustRightInd w:val="0"/>
        <w:snapToGrid w:val="0"/>
        <w:spacing w:after="0"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3.“其他从业人员”</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本企业中不能归到在岗职工、劳务派遣人员中的人员。此类人员是实际参加本企业生产或工作并从本企业取得劳动报酬的人员，包括：非全日制人员、聘用的正式离退休人员、兼职人员和第二职业者等，以及本单位中工作的外籍和港澳台方人员。</w:t>
      </w:r>
    </w:p>
    <w:p>
      <w:pPr>
        <w:pStyle w:val="22"/>
        <w:adjustRightInd w:val="0"/>
        <w:snapToGrid w:val="0"/>
        <w:spacing w:after="0"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4.企业从业人员平均人数计算方法</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与国家统计局基层年报表式《从业人员及工资总额》I 102表的填报要求一致，即：年平均人数是以12个月的平均人数相加之和除以12求得，或以4个季度的平均人数之和除以4求得。计算公式为：</w:t>
      </w:r>
    </w:p>
    <w:p>
      <w:pPr>
        <w:pStyle w:val="22"/>
        <w:adjustRightInd w:val="0"/>
        <w:snapToGrid w:val="0"/>
        <w:spacing w:after="0" w:line="360" w:lineRule="auto"/>
        <w:ind w:firstLine="600" w:firstLineChars="200"/>
        <w:rPr>
          <w:rFonts w:ascii="仿宋" w:hAnsi="仿宋" w:eastAsia="仿宋" w:cs="仿宋"/>
          <w:sz w:val="30"/>
          <w:szCs w:val="30"/>
        </w:rPr>
      </w:pPr>
    </w:p>
    <w:p>
      <w:pPr>
        <w:pStyle w:val="8"/>
        <w:adjustRightInd w:val="0"/>
        <w:snapToGrid w:val="0"/>
        <w:spacing w:after="0" w:line="312" w:lineRule="auto"/>
        <w:ind w:firstLine="600" w:firstLineChars="200"/>
        <w:rPr>
          <w:rFonts w:ascii="宋体" w:hAnsi="宋体"/>
          <w:sz w:val="30"/>
          <w:szCs w:val="30"/>
        </w:rPr>
      </w:pPr>
      <w:r>
        <w:rPr>
          <w:rFonts w:hint="eastAsia" w:ascii="宋体" w:hAnsi="宋体"/>
          <w:position w:val="-22"/>
          <w:sz w:val="30"/>
          <w:szCs w:val="30"/>
        </w:rPr>
        <w:object>
          <v:shape id="_x0000_i1025" o:spt="75" type="#_x0000_t75" style="height:28.4pt;width:209.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pStyle w:val="13"/>
        <w:adjustRightInd w:val="0"/>
        <w:snapToGrid w:val="0"/>
        <w:spacing w:line="312" w:lineRule="auto"/>
        <w:rPr>
          <w:rFonts w:ascii="仿宋" w:hAnsi="仿宋" w:eastAsia="仿宋" w:cs="仿宋"/>
          <w:bCs/>
          <w:sz w:val="30"/>
          <w:szCs w:val="30"/>
        </w:rPr>
      </w:pPr>
      <w:r>
        <w:rPr>
          <w:rFonts w:hint="eastAsia" w:ascii="仿宋" w:hAnsi="仿宋" w:eastAsia="仿宋" w:cs="仿宋"/>
          <w:bCs/>
          <w:sz w:val="30"/>
          <w:szCs w:val="30"/>
        </w:rPr>
        <w:t>或：</w:t>
      </w:r>
    </w:p>
    <w:p>
      <w:pPr>
        <w:pStyle w:val="8"/>
        <w:adjustRightInd w:val="0"/>
        <w:snapToGrid w:val="0"/>
        <w:spacing w:after="0" w:line="312" w:lineRule="auto"/>
        <w:ind w:firstLine="600" w:firstLineChars="200"/>
        <w:rPr>
          <w:rFonts w:ascii="宋体" w:hAnsi="宋体"/>
          <w:sz w:val="30"/>
          <w:szCs w:val="30"/>
        </w:rPr>
      </w:pPr>
      <w:r>
        <w:rPr>
          <w:rFonts w:hint="eastAsia" w:ascii="宋体" w:hAnsi="宋体"/>
          <w:position w:val="-22"/>
          <w:sz w:val="30"/>
          <w:szCs w:val="30"/>
        </w:rPr>
        <w:object>
          <v:shape id="_x0000_i1026" o:spt="75" type="#_x0000_t75" style="height:28.4pt;width:209.9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pStyle w:val="22"/>
        <w:adjustRightInd w:val="0"/>
        <w:snapToGrid w:val="0"/>
        <w:spacing w:line="600" w:lineRule="exact"/>
        <w:ind w:firstLine="600" w:firstLineChars="200"/>
        <w:rPr>
          <w:rFonts w:ascii="仿宋" w:hAnsi="仿宋" w:eastAsia="仿宋" w:cs="仿宋"/>
          <w:b/>
          <w:bCs/>
          <w:color w:val="C00000"/>
          <w:sz w:val="30"/>
          <w:szCs w:val="30"/>
        </w:rPr>
      </w:pPr>
      <w:r>
        <w:rPr>
          <w:rFonts w:hint="eastAsia" w:ascii="楷体" w:hAnsi="楷体" w:eastAsia="楷体"/>
          <w:sz w:val="30"/>
          <w:szCs w:val="30"/>
        </w:rPr>
        <w:t>（十一）工作小时总数</w:t>
      </w:r>
      <w:r>
        <w:rPr>
          <w:rFonts w:hint="eastAsia" w:ascii="宋体" w:hAnsi="宋体" w:eastAsia="宋体"/>
          <w:b/>
          <w:bCs/>
          <w:sz w:val="30"/>
          <w:szCs w:val="30"/>
        </w:rPr>
        <w:t xml:space="preserve"> </w:t>
      </w:r>
      <w:r>
        <w:rPr>
          <w:rFonts w:ascii="宋体" w:hAnsi="宋体" w:eastAsia="宋体"/>
          <w:b/>
          <w:bCs/>
          <w:sz w:val="30"/>
          <w:szCs w:val="30"/>
        </w:rPr>
        <w:t xml:space="preserve">  </w:t>
      </w:r>
    </w:p>
    <w:p>
      <w:pPr>
        <w:pStyle w:val="22"/>
        <w:adjustRightInd w:val="0"/>
        <w:snapToGrid w:val="0"/>
        <w:spacing w:line="600" w:lineRule="exact"/>
        <w:ind w:firstLine="602" w:firstLineChars="200"/>
        <w:rPr>
          <w:rFonts w:ascii="仿宋" w:hAnsi="仿宋" w:eastAsia="仿宋" w:cs="仿宋"/>
          <w:sz w:val="30"/>
          <w:szCs w:val="30"/>
        </w:rPr>
      </w:pPr>
      <w:r>
        <w:rPr>
          <w:rFonts w:hint="eastAsia" w:ascii="仿宋" w:hAnsi="仿宋" w:eastAsia="仿宋" w:cs="仿宋"/>
          <w:b/>
          <w:bCs/>
          <w:color w:val="C00000"/>
          <w:sz w:val="30"/>
          <w:szCs w:val="30"/>
        </w:rPr>
        <w:t>仅限制造业人工成本监测试点</w:t>
      </w:r>
      <w:r>
        <w:rPr>
          <w:rFonts w:hint="eastAsia" w:ascii="仿宋" w:hAnsi="仿宋" w:eastAsia="仿宋" w:cs="仿宋"/>
          <w:sz w:val="30"/>
          <w:szCs w:val="30"/>
        </w:rPr>
        <w:t>企业填写。填写本季度本企业所有从业人员工作总小时数。</w:t>
      </w:r>
    </w:p>
    <w:p>
      <w:pPr>
        <w:pStyle w:val="22"/>
        <w:adjustRightInd w:val="0"/>
        <w:snapToGrid w:val="0"/>
        <w:spacing w:line="600" w:lineRule="exact"/>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填报要求：必填，大于等于零的数字，单位为小时，保留两位小数。</w:t>
      </w:r>
    </w:p>
    <w:p>
      <w:pPr>
        <w:pStyle w:val="32"/>
        <w:adjustRightInd w:val="0"/>
        <w:spacing w:line="600" w:lineRule="exact"/>
        <w:ind w:firstLine="600" w:firstLineChars="200"/>
        <w:rPr>
          <w:rFonts w:ascii="仿宋" w:hAnsi="仿宋" w:eastAsia="仿宋" w:cs="仿宋"/>
          <w:sz w:val="30"/>
          <w:szCs w:val="30"/>
        </w:rPr>
      </w:pPr>
      <w:r>
        <w:rPr>
          <w:rFonts w:ascii="仿宋" w:hAnsi="仿宋" w:eastAsia="仿宋" w:cs="仿宋"/>
          <w:sz w:val="30"/>
          <w:szCs w:val="30"/>
        </w:rPr>
        <w:br w:type="page"/>
      </w:r>
    </w:p>
    <w:p>
      <w:pPr>
        <w:pStyle w:val="4"/>
      </w:pPr>
      <w:bookmarkStart w:id="132" w:name="_Toc93509811"/>
      <w:r>
        <w:rPr>
          <w:rFonts w:hint="eastAsia"/>
        </w:rPr>
        <w:t>二、企业人工成本情况表相关指标</w:t>
      </w:r>
      <w:bookmarkEnd w:id="132"/>
    </w:p>
    <w:p>
      <w:pPr>
        <w:pStyle w:val="29"/>
        <w:rPr>
          <w:sz w:val="32"/>
          <w:szCs w:val="32"/>
        </w:rPr>
      </w:pPr>
      <w:r>
        <w:rPr>
          <w:rFonts w:hint="eastAsia"/>
          <w:sz w:val="32"/>
          <w:szCs w:val="32"/>
        </w:rPr>
        <w:t>企业人工成本情况</w:t>
      </w:r>
    </w:p>
    <w:p>
      <w:pPr>
        <w:adjustRightInd w:val="0"/>
        <w:snapToGrid w:val="0"/>
        <w:spacing w:line="240" w:lineRule="exact"/>
        <w:ind w:left="5527" w:leftChars="2632"/>
        <w:rPr>
          <w:rFonts w:ascii="宋体" w:hAnsi="宋体" w:eastAsia="宋体"/>
          <w:color w:val="000000"/>
          <w:sz w:val="18"/>
          <w:szCs w:val="18"/>
        </w:rPr>
      </w:pPr>
      <w:r>
        <w:rPr>
          <w:rFonts w:hint="eastAsia" w:ascii="宋体" w:hAnsi="宋体" w:eastAsia="宋体"/>
          <w:color w:val="000000"/>
          <w:sz w:val="18"/>
          <w:szCs w:val="18"/>
        </w:rPr>
        <w:t>表</w:t>
      </w:r>
      <w:r>
        <w:rPr>
          <w:rFonts w:ascii="宋体" w:hAnsi="宋体" w:eastAsia="宋体"/>
          <w:color w:val="000000"/>
          <w:sz w:val="18"/>
          <w:szCs w:val="18"/>
        </w:rPr>
        <w:t xml:space="preserve">    </w:t>
      </w:r>
      <w:r>
        <w:rPr>
          <w:rFonts w:hint="eastAsia" w:ascii="宋体" w:hAnsi="宋体" w:eastAsia="宋体"/>
          <w:color w:val="000000"/>
          <w:sz w:val="18"/>
          <w:szCs w:val="18"/>
        </w:rPr>
        <w:t>号：人社统</w:t>
      </w:r>
      <w:r>
        <w:rPr>
          <w:rFonts w:ascii="宋体" w:hAnsi="宋体" w:eastAsia="宋体"/>
          <w:color w:val="000000"/>
          <w:sz w:val="18"/>
          <w:szCs w:val="18"/>
        </w:rPr>
        <w:t>IR5号</w:t>
      </w:r>
    </w:p>
    <w:p>
      <w:pPr>
        <w:adjustRightInd w:val="0"/>
        <w:snapToGrid w:val="0"/>
        <w:spacing w:line="240" w:lineRule="exact"/>
        <w:ind w:left="5527" w:leftChars="2632"/>
        <w:rPr>
          <w:rFonts w:ascii="宋体" w:hAnsi="宋体" w:eastAsia="宋体"/>
          <w:color w:val="000000"/>
          <w:sz w:val="18"/>
          <w:szCs w:val="18"/>
        </w:rPr>
      </w:pPr>
      <w:r>
        <w:rPr>
          <w:rFonts w:hint="eastAsia" w:ascii="宋体" w:hAnsi="宋体" w:eastAsia="宋体"/>
          <w:color w:val="000000"/>
          <w:sz w:val="18"/>
          <w:szCs w:val="18"/>
        </w:rPr>
        <w:t>制定机关：人力资源和社会保障部</w:t>
      </w:r>
    </w:p>
    <w:p>
      <w:pPr>
        <w:tabs>
          <w:tab w:val="left" w:pos="5115"/>
        </w:tabs>
        <w:adjustRightInd w:val="0"/>
        <w:snapToGrid w:val="0"/>
        <w:spacing w:line="240" w:lineRule="exact"/>
        <w:ind w:left="5527" w:leftChars="2632"/>
        <w:rPr>
          <w:rFonts w:ascii="宋体" w:hAnsi="宋体" w:eastAsia="宋体"/>
          <w:color w:val="000000"/>
          <w:sz w:val="18"/>
          <w:szCs w:val="18"/>
        </w:rPr>
      </w:pPr>
      <w:r>
        <w:rPr>
          <w:rFonts w:hint="eastAsia" w:ascii="宋体" w:hAnsi="宋体" w:eastAsia="宋体"/>
          <w:color w:val="000000"/>
          <w:sz w:val="18"/>
          <w:szCs w:val="18"/>
        </w:rPr>
        <w:t>批准机关：国家统计局</w:t>
      </w:r>
    </w:p>
    <w:p>
      <w:pPr>
        <w:tabs>
          <w:tab w:val="left" w:pos="5115"/>
        </w:tabs>
        <w:adjustRightInd w:val="0"/>
        <w:snapToGrid w:val="0"/>
        <w:spacing w:line="240" w:lineRule="exact"/>
        <w:ind w:left="5527" w:leftChars="2632"/>
        <w:rPr>
          <w:rFonts w:ascii="宋体" w:hAnsi="宋体" w:eastAsia="宋体"/>
          <w:color w:val="000000"/>
          <w:sz w:val="18"/>
          <w:szCs w:val="18"/>
        </w:rPr>
      </w:pPr>
      <w:r>
        <w:rPr>
          <w:rFonts w:hint="eastAsia" w:ascii="宋体" w:hAnsi="宋体" w:eastAsia="宋体"/>
          <w:color w:val="000000"/>
          <w:sz w:val="18"/>
          <w:szCs w:val="18"/>
        </w:rPr>
        <w:t>批准文号：国统制</w:t>
      </w:r>
      <w:r>
        <w:rPr>
          <w:rFonts w:ascii="宋体" w:hAnsi="宋体" w:eastAsia="宋体" w:cs="宋体"/>
          <w:color w:val="000000"/>
          <w:sz w:val="18"/>
          <w:szCs w:val="18"/>
        </w:rPr>
        <w:t>[2022] 15</w:t>
      </w:r>
      <w:r>
        <w:rPr>
          <w:rFonts w:hint="eastAsia" w:ascii="宋体" w:hAnsi="宋体" w:eastAsia="宋体"/>
          <w:color w:val="000000"/>
          <w:sz w:val="18"/>
          <w:szCs w:val="18"/>
        </w:rPr>
        <w:t>号</w:t>
      </w:r>
    </w:p>
    <w:p>
      <w:pPr>
        <w:tabs>
          <w:tab w:val="left" w:pos="5115"/>
        </w:tabs>
        <w:adjustRightInd w:val="0"/>
        <w:snapToGrid w:val="0"/>
        <w:spacing w:line="240" w:lineRule="exact"/>
        <w:ind w:left="5527" w:leftChars="2632"/>
        <w:rPr>
          <w:rFonts w:ascii="宋体" w:hAnsi="宋体" w:eastAsia="宋体"/>
          <w:color w:val="000000"/>
          <w:sz w:val="18"/>
          <w:szCs w:val="18"/>
        </w:rPr>
      </w:pPr>
      <w:r>
        <w:rPr>
          <w:rFonts w:hint="eastAsia" w:ascii="宋体" w:hAnsi="宋体" w:eastAsia="宋体"/>
          <w:color w:val="000000"/>
          <w:sz w:val="18"/>
          <w:szCs w:val="18"/>
        </w:rPr>
        <w:t>有效期至：</w:t>
      </w:r>
      <w:r>
        <w:rPr>
          <w:rFonts w:ascii="宋体" w:hAnsi="宋体" w:eastAsia="宋体"/>
          <w:color w:val="000000"/>
          <w:sz w:val="18"/>
          <w:szCs w:val="18"/>
        </w:rPr>
        <w:t>20</w:t>
      </w:r>
      <w:r>
        <w:rPr>
          <w:rFonts w:hint="eastAsia" w:ascii="宋体" w:hAnsi="宋体" w:eastAsia="宋体"/>
          <w:color w:val="000000"/>
          <w:sz w:val="18"/>
          <w:szCs w:val="18"/>
          <w:lang w:val="en-US" w:eastAsia="zh-CN"/>
        </w:rPr>
        <w:t>25</w:t>
      </w:r>
      <w:r>
        <w:rPr>
          <w:rFonts w:hint="eastAsia" w:ascii="宋体" w:hAnsi="宋体" w:eastAsia="宋体"/>
          <w:color w:val="000000"/>
          <w:sz w:val="18"/>
          <w:szCs w:val="18"/>
        </w:rPr>
        <w:t>年</w:t>
      </w:r>
      <w:r>
        <w:rPr>
          <w:rFonts w:hint="eastAsia" w:ascii="宋体" w:hAnsi="宋体" w:eastAsia="宋体"/>
          <w:color w:val="000000"/>
          <w:sz w:val="18"/>
          <w:szCs w:val="18"/>
          <w:lang w:val="en-US" w:eastAsia="zh-CN"/>
        </w:rPr>
        <w:t>1</w:t>
      </w:r>
      <w:r>
        <w:rPr>
          <w:rFonts w:hint="eastAsia" w:ascii="宋体" w:hAnsi="宋体" w:eastAsia="宋体"/>
          <w:color w:val="000000"/>
          <w:sz w:val="18"/>
          <w:szCs w:val="18"/>
        </w:rPr>
        <w:t>月</w:t>
      </w:r>
    </w:p>
    <w:p>
      <w:pPr>
        <w:tabs>
          <w:tab w:val="left" w:pos="5115"/>
        </w:tabs>
        <w:spacing w:line="240" w:lineRule="exact"/>
        <w:ind w:firstLine="360" w:firstLineChars="200"/>
        <w:rPr>
          <w:rFonts w:ascii="宋体" w:hAnsi="宋体" w:eastAsia="宋体"/>
          <w:color w:val="000000"/>
          <w:sz w:val="18"/>
          <w:szCs w:val="18"/>
        </w:rPr>
      </w:pPr>
    </w:p>
    <w:p>
      <w:pPr>
        <w:tabs>
          <w:tab w:val="left" w:pos="5115"/>
        </w:tabs>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统一社会信用代码□□□□□□□□□□□□□□□□□□</w:t>
      </w:r>
    </w:p>
    <w:p>
      <w:pPr>
        <w:tabs>
          <w:tab w:val="left" w:pos="5115"/>
        </w:tabs>
        <w:adjustRightInd w:val="0"/>
        <w:snapToGrid w:val="0"/>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法人单位名称：</w:t>
      </w:r>
      <w:r>
        <w:rPr>
          <w:rFonts w:hint="eastAsia" w:ascii="宋体" w:hAnsi="宋体" w:eastAsia="宋体"/>
          <w:color w:val="000000"/>
          <w:sz w:val="18"/>
          <w:szCs w:val="18"/>
          <w:u w:val="single"/>
        </w:rPr>
        <w:t xml:space="preserve">                                    </w:t>
      </w:r>
    </w:p>
    <w:p>
      <w:pPr>
        <w:tabs>
          <w:tab w:val="left" w:pos="5115"/>
        </w:tabs>
        <w:spacing w:line="240" w:lineRule="exact"/>
        <w:jc w:val="center"/>
        <w:rPr>
          <w:rFonts w:ascii="宋体" w:hAnsi="宋体" w:eastAsia="宋体" w:cs="宋体"/>
          <w:color w:val="000000"/>
          <w:sz w:val="22"/>
          <w:szCs w:val="22"/>
        </w:rPr>
      </w:pPr>
      <w:r>
        <w:rPr>
          <w:rFonts w:ascii="宋体" w:hAnsi="宋体" w:eastAsia="宋体" w:cs="宋体"/>
          <w:color w:val="000000"/>
          <w:sz w:val="22"/>
          <w:szCs w:val="22"/>
        </w:rPr>
        <w:t xml:space="preserve">                                                         </w:t>
      </w:r>
    </w:p>
    <w:p>
      <w:pPr>
        <w:tabs>
          <w:tab w:val="left" w:pos="5115"/>
        </w:tabs>
        <w:spacing w:line="240" w:lineRule="exact"/>
        <w:jc w:val="center"/>
        <w:rPr>
          <w:rFonts w:ascii="宋体" w:hAnsi="宋体" w:eastAsia="宋体"/>
          <w:color w:val="000000"/>
          <w:sz w:val="18"/>
          <w:szCs w:val="18"/>
        </w:rPr>
      </w:pPr>
      <w:r>
        <w:rPr>
          <w:rFonts w:ascii="宋体" w:hAnsi="宋体" w:eastAsia="宋体" w:cs="宋体"/>
          <w:color w:val="000000"/>
          <w:sz w:val="22"/>
          <w:szCs w:val="22"/>
        </w:rPr>
        <w:t xml:space="preserve">                                                            20   </w:t>
      </w:r>
      <w:r>
        <w:rPr>
          <w:rFonts w:hint="eastAsia" w:ascii="宋体" w:hAnsi="宋体" w:eastAsia="宋体" w:cs="宋体"/>
          <w:color w:val="000000"/>
          <w:sz w:val="22"/>
          <w:szCs w:val="22"/>
        </w:rPr>
        <w:t>年   季</w:t>
      </w:r>
    </w:p>
    <w:tbl>
      <w:tblPr>
        <w:tblStyle w:val="17"/>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61"/>
        <w:gridCol w:w="1276"/>
        <w:gridCol w:w="755"/>
        <w:gridCol w:w="213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single" w:color="000000" w:sz="2" w:space="0"/>
              <w:right w:val="single" w:color="000000" w:sz="2" w:space="0"/>
            </w:tcBorders>
          </w:tcPr>
          <w:p>
            <w:pPr>
              <w:spacing w:line="240" w:lineRule="exact"/>
              <w:ind w:firstLine="360" w:firstLineChars="200"/>
              <w:jc w:val="center"/>
              <w:rPr>
                <w:rFonts w:ascii="宋体" w:hAnsi="宋体" w:eastAsia="宋体"/>
                <w:color w:val="000000"/>
                <w:sz w:val="18"/>
                <w:szCs w:val="18"/>
              </w:rPr>
            </w:pPr>
            <w:r>
              <w:rPr>
                <w:rFonts w:hint="eastAsia" w:ascii="宋体" w:hAnsi="宋体" w:eastAsia="宋体"/>
                <w:color w:val="000000"/>
                <w:sz w:val="18"/>
                <w:szCs w:val="18"/>
              </w:rPr>
              <w:t>指标名称</w:t>
            </w:r>
          </w:p>
        </w:tc>
        <w:tc>
          <w:tcPr>
            <w:tcW w:w="1276" w:type="dxa"/>
            <w:tcBorders>
              <w:top w:val="single" w:color="000000" w:sz="2" w:space="0"/>
              <w:left w:val="single" w:color="000000" w:sz="2" w:space="0"/>
              <w:right w:val="single" w:color="000000" w:sz="2" w:space="0"/>
            </w:tcBorders>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计量单位</w:t>
            </w:r>
          </w:p>
        </w:tc>
        <w:tc>
          <w:tcPr>
            <w:tcW w:w="755" w:type="dxa"/>
            <w:tcBorders>
              <w:top w:val="single" w:color="000000" w:sz="2" w:space="0"/>
              <w:left w:val="single" w:color="000000" w:sz="2" w:space="0"/>
              <w:right w:val="single" w:color="000000" w:sz="2" w:space="0"/>
            </w:tcBorders>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代码</w:t>
            </w:r>
          </w:p>
        </w:tc>
        <w:tc>
          <w:tcPr>
            <w:tcW w:w="2130" w:type="dxa"/>
            <w:tcBorders>
              <w:top w:val="single" w:color="000000" w:sz="2" w:space="0"/>
              <w:left w:val="single" w:color="000000" w:sz="2" w:space="0"/>
            </w:tcBorders>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金额</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bottom w:val="single" w:color="000000" w:sz="4" w:space="0"/>
              <w:right w:val="single" w:color="000000" w:sz="2" w:space="0"/>
            </w:tcBorders>
          </w:tcPr>
          <w:p>
            <w:pPr>
              <w:spacing w:line="240" w:lineRule="exact"/>
              <w:ind w:firstLine="360" w:firstLineChars="200"/>
              <w:jc w:val="center"/>
              <w:rPr>
                <w:rFonts w:ascii="宋体" w:hAnsi="宋体" w:eastAsia="宋体"/>
                <w:color w:val="000000"/>
                <w:sz w:val="18"/>
                <w:szCs w:val="18"/>
              </w:rPr>
            </w:pPr>
            <w:r>
              <w:rPr>
                <w:rFonts w:hint="eastAsia" w:ascii="宋体" w:hAnsi="宋体" w:eastAsia="宋体"/>
                <w:color w:val="000000"/>
                <w:sz w:val="18"/>
                <w:szCs w:val="18"/>
              </w:rPr>
              <w:t>甲</w:t>
            </w:r>
          </w:p>
        </w:tc>
        <w:tc>
          <w:tcPr>
            <w:tcW w:w="1276" w:type="dxa"/>
            <w:tcBorders>
              <w:left w:val="single" w:color="000000" w:sz="2" w:space="0"/>
              <w:bottom w:val="single" w:color="000000" w:sz="4" w:space="0"/>
              <w:right w:val="single" w:color="000000" w:sz="2" w:space="0"/>
            </w:tcBorders>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乙</w:t>
            </w:r>
          </w:p>
        </w:tc>
        <w:tc>
          <w:tcPr>
            <w:tcW w:w="755" w:type="dxa"/>
            <w:tcBorders>
              <w:left w:val="single" w:color="000000" w:sz="2" w:space="0"/>
              <w:bottom w:val="single" w:color="000000" w:sz="4" w:space="0"/>
              <w:right w:val="single" w:color="000000" w:sz="2" w:space="0"/>
            </w:tcBorders>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丙</w:t>
            </w:r>
          </w:p>
        </w:tc>
        <w:tc>
          <w:tcPr>
            <w:tcW w:w="2130" w:type="dxa"/>
            <w:tcBorders>
              <w:left w:val="single" w:color="000000" w:sz="2" w:space="0"/>
              <w:bottom w:val="single" w:color="000000" w:sz="4" w:space="0"/>
            </w:tcBorders>
          </w:tcPr>
          <w:p>
            <w:pPr>
              <w:spacing w:line="240" w:lineRule="exact"/>
              <w:jc w:val="center"/>
              <w:rPr>
                <w:rFonts w:ascii="宋体" w:hAnsi="宋体" w:eastAsia="宋体"/>
                <w:color w:val="000000"/>
                <w:sz w:val="18"/>
                <w:szCs w:val="18"/>
              </w:rPr>
            </w:pPr>
            <w:r>
              <w:rPr>
                <w:rFonts w:hint="eastAsia" w:ascii="宋体" w:hAnsi="宋体" w:eastAsia="宋体"/>
                <w:color w:val="000000"/>
                <w:sz w:val="18"/>
                <w:szCs w:val="18"/>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销售（营业）收入</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01</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利润总额</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02</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固定资产折旧</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03</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主营业务税金及附加</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04</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tcPr>
          <w:p>
            <w:pPr>
              <w:spacing w:line="24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成本费用总额</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05</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tcPr>
          <w:p>
            <w:pPr>
              <w:spacing w:line="24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人工成本总计</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06</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hint="eastAsia" w:ascii="宋体" w:hAnsi="宋体" w:eastAsia="宋体"/>
                <w:sz w:val="18"/>
                <w:szCs w:val="18"/>
              </w:rPr>
              <w:t>从业人员工资总额</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07</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1440" w:firstLineChars="800"/>
              <w:rPr>
                <w:rFonts w:ascii="宋体" w:hAnsi="宋体" w:eastAsia="宋体"/>
                <w:sz w:val="18"/>
                <w:szCs w:val="18"/>
              </w:rPr>
            </w:pPr>
            <w:r>
              <w:rPr>
                <w:rFonts w:hint="eastAsia" w:ascii="宋体" w:hAnsi="宋体" w:eastAsia="宋体"/>
                <w:sz w:val="18"/>
                <w:szCs w:val="18"/>
              </w:rPr>
              <w:t>其中：在岗职工工资总额</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08</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360" w:firstLineChars="200"/>
              <w:rPr>
                <w:rFonts w:ascii="宋体" w:hAnsi="宋体" w:eastAsia="宋体"/>
                <w:sz w:val="18"/>
                <w:szCs w:val="18"/>
              </w:rPr>
            </w:pPr>
            <w:r>
              <w:rPr>
                <w:rFonts w:hint="eastAsia" w:ascii="宋体" w:hAnsi="宋体" w:eastAsia="宋体"/>
                <w:color w:val="000000"/>
                <w:sz w:val="18"/>
                <w:szCs w:val="18"/>
              </w:rPr>
              <w:t xml:space="preserve">                  </w:t>
            </w:r>
            <w:r>
              <w:rPr>
                <w:rFonts w:hint="eastAsia" w:ascii="宋体" w:hAnsi="宋体" w:eastAsia="宋体"/>
                <w:sz w:val="18"/>
                <w:szCs w:val="18"/>
              </w:rPr>
              <w:t>劳务派遣人员工资总额</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09</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ascii="宋体" w:hAnsi="宋体" w:eastAsia="宋体"/>
                <w:sz w:val="18"/>
                <w:szCs w:val="18"/>
              </w:rPr>
              <w:t>福利费用</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10</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ascii="宋体" w:hAnsi="宋体" w:eastAsia="宋体"/>
                <w:sz w:val="18"/>
                <w:szCs w:val="18"/>
              </w:rPr>
              <w:t>教育经费</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11</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ascii="宋体" w:hAnsi="宋体" w:eastAsia="宋体"/>
                <w:sz w:val="18"/>
                <w:szCs w:val="18"/>
              </w:rPr>
              <w:t>保险费用</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12</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ascii="宋体" w:hAnsi="宋体" w:eastAsia="宋体"/>
                <w:sz w:val="18"/>
                <w:szCs w:val="18"/>
              </w:rPr>
              <w:t>劳动保护费用</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13</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ascii="宋体" w:hAnsi="宋体" w:eastAsia="宋体"/>
                <w:sz w:val="18"/>
                <w:szCs w:val="18"/>
              </w:rPr>
              <w:t>住房费用</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tabs>
                <w:tab w:val="left" w:pos="199"/>
                <w:tab w:val="center" w:pos="269"/>
              </w:tabs>
              <w:spacing w:line="240" w:lineRule="exact"/>
              <w:jc w:val="center"/>
              <w:rPr>
                <w:rFonts w:ascii="宋体" w:hAnsi="宋体" w:eastAsia="宋体"/>
                <w:color w:val="000000"/>
                <w:sz w:val="18"/>
                <w:szCs w:val="18"/>
              </w:rPr>
            </w:pPr>
            <w:r>
              <w:rPr>
                <w:rFonts w:ascii="宋体" w:hAnsi="宋体" w:eastAsia="宋体"/>
                <w:color w:val="000000"/>
                <w:sz w:val="18"/>
                <w:szCs w:val="18"/>
              </w:rPr>
              <w:t>14</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nil"/>
              <w:right w:val="single" w:color="000000" w:sz="2" w:space="0"/>
            </w:tcBorders>
            <w:vAlign w:val="center"/>
          </w:tcPr>
          <w:p>
            <w:pPr>
              <w:spacing w:line="240" w:lineRule="exact"/>
              <w:ind w:firstLine="900" w:firstLineChars="500"/>
              <w:rPr>
                <w:rFonts w:ascii="宋体" w:hAnsi="宋体" w:eastAsia="宋体"/>
                <w:sz w:val="18"/>
                <w:szCs w:val="18"/>
              </w:rPr>
            </w:pPr>
            <w:r>
              <w:rPr>
                <w:rFonts w:hint="eastAsia" w:ascii="宋体" w:hAnsi="宋体" w:eastAsia="宋体"/>
                <w:sz w:val="18"/>
                <w:szCs w:val="18"/>
              </w:rPr>
              <w:t>其他人工成本</w:t>
            </w:r>
          </w:p>
        </w:tc>
        <w:tc>
          <w:tcPr>
            <w:tcW w:w="1276" w:type="dxa"/>
            <w:tcBorders>
              <w:top w:val="nil"/>
              <w:left w:val="single" w:color="000000" w:sz="2" w:space="0"/>
              <w:bottom w:val="nil"/>
              <w:right w:val="single" w:color="000000" w:sz="2" w:space="0"/>
            </w:tcBorders>
          </w:tcPr>
          <w:p>
            <w:pPr>
              <w:spacing w:line="24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万元</w:t>
            </w:r>
          </w:p>
        </w:tc>
        <w:tc>
          <w:tcPr>
            <w:tcW w:w="755" w:type="dxa"/>
            <w:tcBorders>
              <w:top w:val="nil"/>
              <w:left w:val="single" w:color="000000" w:sz="2" w:space="0"/>
              <w:bottom w:val="nil"/>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15</w:t>
            </w:r>
          </w:p>
        </w:tc>
        <w:tc>
          <w:tcPr>
            <w:tcW w:w="2130" w:type="dxa"/>
            <w:tcBorders>
              <w:top w:val="nil"/>
              <w:left w:val="single" w:color="000000" w:sz="2" w:space="0"/>
              <w:bottom w:val="nil"/>
            </w:tcBorders>
          </w:tcPr>
          <w:p>
            <w:pPr>
              <w:spacing w:line="240" w:lineRule="exact"/>
              <w:ind w:firstLine="360" w:firstLineChars="200"/>
              <w:jc w:val="center"/>
              <w:rPr>
                <w:rFonts w:ascii="宋体" w:hAnsi="宋体" w:eastAsia="宋体"/>
                <w:color w:val="000000"/>
                <w:sz w:val="18"/>
                <w:szCs w:val="1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61" w:type="dxa"/>
            <w:tcBorders>
              <w:top w:val="nil"/>
              <w:bottom w:val="single" w:color="000000" w:sz="8" w:space="0"/>
              <w:right w:val="single" w:color="000000" w:sz="2" w:space="0"/>
            </w:tcBorders>
            <w:vAlign w:val="center"/>
          </w:tcPr>
          <w:p>
            <w:pPr>
              <w:spacing w:line="240" w:lineRule="exact"/>
              <w:ind w:firstLine="900" w:firstLineChars="500"/>
              <w:rPr>
                <w:rFonts w:ascii="宋体" w:hAnsi="宋体" w:eastAsia="宋体"/>
                <w:sz w:val="18"/>
                <w:szCs w:val="18"/>
              </w:rPr>
            </w:pPr>
            <w:bookmarkStart w:id="133" w:name="_Hlk92038630"/>
            <w:r>
              <w:rPr>
                <w:rFonts w:ascii="宋体" w:hAnsi="宋体" w:eastAsia="宋体"/>
                <w:sz w:val="18"/>
                <w:szCs w:val="18"/>
              </w:rPr>
              <w:t>从业人员平均工资年度预期增长率</w:t>
            </w:r>
            <w:bookmarkEnd w:id="133"/>
          </w:p>
        </w:tc>
        <w:tc>
          <w:tcPr>
            <w:tcW w:w="1276" w:type="dxa"/>
            <w:tcBorders>
              <w:top w:val="nil"/>
              <w:left w:val="single" w:color="000000" w:sz="2" w:space="0"/>
              <w:bottom w:val="single" w:color="000000" w:sz="8" w:space="0"/>
              <w:right w:val="single" w:color="000000" w:sz="2" w:space="0"/>
            </w:tcBorders>
          </w:tcPr>
          <w:p>
            <w:pPr>
              <w:spacing w:line="240" w:lineRule="exact"/>
              <w:ind w:firstLine="630" w:firstLineChars="350"/>
              <w:rPr>
                <w:rFonts w:ascii="宋体" w:hAnsi="宋体" w:eastAsia="宋体"/>
                <w:color w:val="000000"/>
                <w:sz w:val="18"/>
                <w:szCs w:val="18"/>
              </w:rPr>
            </w:pPr>
            <w:r>
              <w:rPr>
                <w:rFonts w:ascii="宋体" w:hAnsi="宋体" w:eastAsia="宋体"/>
                <w:color w:val="000000"/>
                <w:sz w:val="18"/>
                <w:szCs w:val="18"/>
              </w:rPr>
              <w:t>%</w:t>
            </w:r>
          </w:p>
        </w:tc>
        <w:tc>
          <w:tcPr>
            <w:tcW w:w="755" w:type="dxa"/>
            <w:tcBorders>
              <w:top w:val="nil"/>
              <w:left w:val="single" w:color="000000" w:sz="2" w:space="0"/>
              <w:bottom w:val="single" w:color="000000" w:sz="8" w:space="0"/>
              <w:right w:val="single" w:color="000000" w:sz="2" w:space="0"/>
            </w:tcBorders>
          </w:tcPr>
          <w:p>
            <w:pPr>
              <w:spacing w:line="240" w:lineRule="exact"/>
              <w:jc w:val="center"/>
              <w:rPr>
                <w:rFonts w:ascii="宋体" w:hAnsi="宋体" w:eastAsia="宋体"/>
                <w:color w:val="000000"/>
                <w:sz w:val="18"/>
                <w:szCs w:val="18"/>
              </w:rPr>
            </w:pPr>
            <w:r>
              <w:rPr>
                <w:rFonts w:ascii="宋体" w:hAnsi="宋体" w:eastAsia="宋体"/>
                <w:color w:val="000000"/>
                <w:sz w:val="18"/>
                <w:szCs w:val="18"/>
              </w:rPr>
              <w:t>16</w:t>
            </w:r>
          </w:p>
        </w:tc>
        <w:tc>
          <w:tcPr>
            <w:tcW w:w="2130" w:type="dxa"/>
            <w:tcBorders>
              <w:top w:val="nil"/>
              <w:left w:val="single" w:color="000000" w:sz="2" w:space="0"/>
              <w:bottom w:val="single" w:color="000000" w:sz="8" w:space="0"/>
            </w:tcBorders>
          </w:tcPr>
          <w:p>
            <w:pPr>
              <w:spacing w:line="240" w:lineRule="exact"/>
              <w:ind w:firstLine="360" w:firstLineChars="200"/>
              <w:jc w:val="center"/>
              <w:rPr>
                <w:rFonts w:ascii="宋体" w:hAnsi="宋体" w:eastAsia="宋体"/>
                <w:color w:val="000000"/>
                <w:sz w:val="18"/>
                <w:szCs w:val="18"/>
              </w:rPr>
            </w:pPr>
          </w:p>
        </w:tc>
      </w:tr>
    </w:tbl>
    <w:p>
      <w:pPr>
        <w:spacing w:line="400" w:lineRule="exact"/>
        <w:ind w:left="420"/>
        <w:rPr>
          <w:rFonts w:ascii="宋体" w:hAnsi="宋体" w:eastAsia="宋体"/>
          <w:color w:val="000000"/>
          <w:sz w:val="18"/>
          <w:szCs w:val="18"/>
        </w:rPr>
      </w:pPr>
      <w:r>
        <w:rPr>
          <w:rFonts w:ascii="宋体" w:hAnsi="宋体" w:eastAsia="宋体"/>
          <w:color w:val="000000"/>
          <w:sz w:val="18"/>
          <w:szCs w:val="18"/>
        </w:rPr>
        <w:t xml:space="preserve"> </w:t>
      </w:r>
      <w:r>
        <w:rPr>
          <w:rFonts w:hint="eastAsia" w:ascii="宋体" w:hAnsi="宋体" w:eastAsia="宋体"/>
          <w:color w:val="000000"/>
          <w:sz w:val="18"/>
          <w:szCs w:val="18"/>
        </w:rPr>
        <w:t>单位负责人：</w:t>
      </w:r>
      <w:r>
        <w:rPr>
          <w:rFonts w:ascii="宋体" w:hAnsi="宋体" w:eastAsia="宋体"/>
          <w:color w:val="000000"/>
          <w:sz w:val="18"/>
          <w:szCs w:val="18"/>
        </w:rPr>
        <w:t xml:space="preserve">     统计负责人：      填表人：         联系电话：         报出日期：20  年  月  日</w:t>
      </w:r>
    </w:p>
    <w:p>
      <w:pPr>
        <w:tabs>
          <w:tab w:val="left" w:pos="5115"/>
        </w:tabs>
        <w:spacing w:line="240" w:lineRule="exact"/>
        <w:rPr>
          <w:rFonts w:ascii="宋体" w:hAnsi="宋体" w:eastAsia="宋体"/>
          <w:color w:val="000000"/>
          <w:sz w:val="18"/>
          <w:szCs w:val="18"/>
        </w:rPr>
      </w:pPr>
    </w:p>
    <w:p>
      <w:pPr>
        <w:tabs>
          <w:tab w:val="left" w:pos="5115"/>
        </w:tabs>
        <w:spacing w:line="200" w:lineRule="exact"/>
        <w:rPr>
          <w:rFonts w:ascii="宋体" w:hAnsi="宋体" w:eastAsia="宋体"/>
          <w:color w:val="000000"/>
          <w:sz w:val="18"/>
          <w:szCs w:val="18"/>
        </w:rPr>
      </w:pPr>
      <w:r>
        <w:rPr>
          <w:rFonts w:hint="eastAsia" w:ascii="宋体" w:hAnsi="宋体" w:eastAsia="宋体"/>
          <w:color w:val="000000"/>
          <w:sz w:val="18"/>
          <w:szCs w:val="18"/>
        </w:rPr>
        <w:t>说明：</w:t>
      </w:r>
      <w:r>
        <w:rPr>
          <w:rFonts w:ascii="宋体" w:hAnsi="宋体" w:eastAsia="宋体"/>
          <w:color w:val="000000"/>
          <w:sz w:val="18"/>
          <w:szCs w:val="18"/>
        </w:rPr>
        <w:t>1.</w:t>
      </w:r>
      <w:r>
        <w:rPr>
          <w:rFonts w:hint="eastAsia" w:ascii="宋体" w:hAnsi="宋体" w:eastAsia="宋体"/>
          <w:color w:val="000000"/>
          <w:sz w:val="18"/>
          <w:szCs w:val="18"/>
        </w:rPr>
        <w:t>尚未“五证合一”使用统一社会信用代码的企业，</w:t>
      </w:r>
      <w:r>
        <w:rPr>
          <w:rFonts w:ascii="宋体" w:hAnsi="宋体" w:eastAsia="宋体"/>
          <w:color w:val="000000"/>
          <w:sz w:val="18"/>
          <w:szCs w:val="18"/>
        </w:rPr>
        <w:t>可填组织机构代码；</w:t>
      </w:r>
    </w:p>
    <w:p>
      <w:pPr>
        <w:tabs>
          <w:tab w:val="left" w:pos="5115"/>
        </w:tabs>
        <w:spacing w:line="200" w:lineRule="exact"/>
        <w:ind w:firstLine="540" w:firstLineChars="300"/>
        <w:rPr>
          <w:rFonts w:ascii="宋体" w:hAnsi="宋体" w:eastAsia="宋体"/>
          <w:color w:val="000000"/>
          <w:sz w:val="18"/>
          <w:szCs w:val="18"/>
        </w:rPr>
        <w:sectPr>
          <w:pgSz w:w="11906" w:h="16838"/>
          <w:pgMar w:top="1418" w:right="1247" w:bottom="1304" w:left="1247" w:header="851" w:footer="584" w:gutter="0"/>
          <w:pgNumType w:fmt="numberInDash"/>
          <w:cols w:space="720" w:num="1"/>
          <w:docGrid w:type="lines" w:linePitch="312" w:charSpace="0"/>
        </w:sectPr>
      </w:pPr>
      <w:r>
        <w:rPr>
          <w:rFonts w:ascii="宋体" w:hAnsi="宋体" w:eastAsia="宋体"/>
          <w:color w:val="000000"/>
          <w:sz w:val="18"/>
          <w:szCs w:val="18"/>
        </w:rPr>
        <w:t>2.审核关系（06</w:t>
      </w:r>
      <w:r>
        <w:rPr>
          <w:rFonts w:hint="eastAsia" w:ascii="宋体" w:hAnsi="宋体" w:eastAsia="宋体"/>
          <w:color w:val="000000"/>
          <w:sz w:val="18"/>
          <w:szCs w:val="18"/>
        </w:rPr>
        <w:t>）</w:t>
      </w:r>
      <w:r>
        <w:rPr>
          <w:rFonts w:ascii="宋体" w:hAnsi="宋体" w:eastAsia="宋体"/>
          <w:color w:val="000000"/>
          <w:sz w:val="18"/>
          <w:szCs w:val="18"/>
        </w:rPr>
        <w:t>=（07）+（10）+（11）+（12）+（13）+（14）+（15）</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（一）销售（营业）收入</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指企业在报告期生产经营活动中通过销售产品、提供劳务、让渡资产或从事其它生产经营活动而获得的全部收入。该指标来源于“企业利润表/损益表”。</w:t>
      </w:r>
    </w:p>
    <w:p>
      <w:pPr>
        <w:pStyle w:val="22"/>
        <w:adjustRightInd w:val="0"/>
        <w:snapToGrid w:val="0"/>
        <w:spacing w:after="0" w:line="360" w:lineRule="auto"/>
        <w:ind w:firstLine="602" w:firstLineChars="200"/>
        <w:rPr>
          <w:rFonts w:ascii="仿宋" w:hAnsi="仿宋" w:eastAsia="仿宋" w:cs="仿宋"/>
          <w:b/>
          <w:bCs/>
          <w:color w:val="C00000"/>
          <w:sz w:val="30"/>
          <w:szCs w:val="30"/>
          <w:u w:val="single"/>
        </w:rPr>
      </w:pPr>
      <w:r>
        <w:rPr>
          <w:rFonts w:hint="eastAsia" w:ascii="仿宋" w:hAnsi="仿宋" w:eastAsia="仿宋" w:cs="仿宋"/>
          <w:b/>
          <w:bCs/>
          <w:color w:val="C00000"/>
          <w:sz w:val="30"/>
          <w:szCs w:val="30"/>
        </w:rPr>
        <w:t>填报要求：必填，大于等于零的数字，单位为</w:t>
      </w:r>
      <w:r>
        <w:rPr>
          <w:rFonts w:hint="eastAsia" w:ascii="仿宋" w:hAnsi="仿宋" w:eastAsia="仿宋" w:cs="仿宋"/>
          <w:b/>
          <w:bCs/>
          <w:color w:val="C00000"/>
          <w:sz w:val="30"/>
          <w:szCs w:val="30"/>
          <w:u w:val="single"/>
        </w:rPr>
        <w:t>万元/年，</w:t>
      </w:r>
      <w:r>
        <w:rPr>
          <w:rFonts w:hint="eastAsia" w:ascii="仿宋" w:hAnsi="仿宋" w:eastAsia="仿宋" w:cs="仿宋"/>
          <w:b/>
          <w:bCs/>
          <w:color w:val="C00000"/>
          <w:sz w:val="30"/>
          <w:szCs w:val="30"/>
        </w:rPr>
        <w:t>保留两位小数。</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（二）利润总额</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指企业在报告期内实现的盈亏总额。该指标来源于“企业利润表/损益表”。</w:t>
      </w:r>
    </w:p>
    <w:p>
      <w:pPr>
        <w:pStyle w:val="22"/>
        <w:adjustRightInd w:val="0"/>
        <w:snapToGrid w:val="0"/>
        <w:spacing w:after="0" w:line="360" w:lineRule="auto"/>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填报要求：必填，数字，单位为万元/年，保留两位小数。</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（三）固定资产折旧</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指企业在报告期提取的固定资产折旧数。是报告期企业会计报表中“累计折旧”科目的期末贷方余额减去上一报告期同报表相应数据。</w:t>
      </w:r>
    </w:p>
    <w:p>
      <w:pPr>
        <w:pStyle w:val="22"/>
        <w:adjustRightInd w:val="0"/>
        <w:snapToGrid w:val="0"/>
        <w:spacing w:after="0" w:line="360" w:lineRule="auto"/>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填报要求：工业企业必填，其他企业选填，大于等于零的数字，单位为万元/年，保留两位小数。</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（四）主营业务税金及附加</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指企业经营主要业务应负担的营业税、消费税、城市维护建设税、教育费附加等。数据来源为企业会计报表中“主营业务税金及附加”科目的期末借方余额。</w:t>
      </w:r>
    </w:p>
    <w:p>
      <w:pPr>
        <w:pStyle w:val="22"/>
        <w:adjustRightInd w:val="0"/>
        <w:snapToGrid w:val="0"/>
        <w:spacing w:after="0" w:line="360" w:lineRule="auto"/>
        <w:ind w:firstLine="602" w:firstLineChars="200"/>
        <w:rPr>
          <w:rFonts w:ascii="宋体" w:hAnsi="宋体" w:eastAsia="宋体"/>
          <w:b/>
          <w:bCs/>
          <w:color w:val="C00000"/>
          <w:sz w:val="30"/>
          <w:szCs w:val="30"/>
        </w:rPr>
      </w:pPr>
      <w:r>
        <w:rPr>
          <w:rFonts w:hint="eastAsia" w:ascii="仿宋" w:hAnsi="仿宋" w:eastAsia="仿宋" w:cs="仿宋"/>
          <w:b/>
          <w:bCs/>
          <w:color w:val="C00000"/>
          <w:sz w:val="30"/>
          <w:szCs w:val="30"/>
        </w:rPr>
        <w:t>填报要求：工业企业必填，其他企业选填，大于等于零的数字，单位为万元/年，保留两位小数。</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（五）成本费用总额</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在生产、经营和提供劳务活动中发生的所有费用。该指标来源于“企业损益表”中的销售成本（直接材料、直接人工、燃料和动力、制造费用）和期间费用（销售费用、管理费用和财务费用）的年末累计数。</w:t>
      </w:r>
    </w:p>
    <w:p>
      <w:pPr>
        <w:pStyle w:val="22"/>
        <w:adjustRightInd w:val="0"/>
        <w:snapToGrid w:val="0"/>
        <w:spacing w:after="0" w:line="360" w:lineRule="auto"/>
        <w:ind w:firstLine="602" w:firstLineChars="200"/>
        <w:rPr>
          <w:rFonts w:ascii="宋体" w:hAnsi="宋体" w:eastAsia="宋体"/>
          <w:b/>
          <w:bCs/>
          <w:color w:val="C00000"/>
          <w:sz w:val="30"/>
          <w:szCs w:val="30"/>
        </w:rPr>
      </w:pPr>
      <w:r>
        <w:rPr>
          <w:rFonts w:hint="eastAsia" w:ascii="仿宋" w:hAnsi="仿宋" w:eastAsia="仿宋" w:cs="仿宋"/>
          <w:b/>
          <w:bCs/>
          <w:color w:val="C00000"/>
          <w:sz w:val="30"/>
          <w:szCs w:val="30"/>
        </w:rPr>
        <w:t>填报要求：必填，大于等于零的数字，单位为万元/年，保留两位小数。后面人工成本总计不为零的，此处不为零。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（六）人工成本总计</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企业在生产、经营和提供劳务活动中因使用劳动力而发生的所有直接和间接费用的总和，它反映企业在报告期内因使用各种人力资源所付出的全部成本费用，其范围包括：从业人员工资报酬、福利费用、教育经费、保险费用、劳动保护费用、住房费用和其他人工成本。</w:t>
      </w:r>
    </w:p>
    <w:p>
      <w:pPr>
        <w:pStyle w:val="22"/>
        <w:adjustRightInd w:val="0"/>
        <w:snapToGrid w:val="0"/>
        <w:spacing w:after="0" w:line="360" w:lineRule="auto"/>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填报要求：系统自动生成，大于等于零的数字，单位为万元/年，保留两位小数。</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（七）从业人员劳动报酬（工资总额）</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在报告期内（本调查指年度）直接支付给本企业全部就业人员的劳动报酬总额。根据《关于工资总额组成的规定》（1990年1月1日国家统计局发布的一号令），包括计时工资、计件工资、奖金、津贴和补贴、加班加点工资、特殊情况下支付的工资，是在岗职工工资总额、劳务派遣人员工资总额和其他就业人员工资总额之和。</w:t>
      </w:r>
    </w:p>
    <w:p>
      <w:pPr>
        <w:pStyle w:val="33"/>
        <w:snapToGrid w:val="0"/>
        <w:spacing w:after="0"/>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 xml:space="preserve">填报要求：必填，大于等于零的数字，单位为万元/年，保留两位小数。从业人员工资总额应大于等于两个分项“在岗职工工资总额”和“劳务派遣人员工资总额”之和。 </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工资总额是</w:t>
      </w:r>
      <w:r>
        <w:rPr>
          <w:rFonts w:hint="eastAsia" w:ascii="仿宋" w:hAnsi="仿宋" w:eastAsia="仿宋" w:cs="仿宋"/>
          <w:b/>
          <w:bCs/>
          <w:color w:val="C00000"/>
          <w:sz w:val="30"/>
          <w:szCs w:val="30"/>
        </w:rPr>
        <w:t>税前工资</w:t>
      </w:r>
      <w:r>
        <w:rPr>
          <w:rFonts w:hint="eastAsia" w:ascii="仿宋" w:hAnsi="仿宋" w:eastAsia="仿宋" w:cs="仿宋"/>
          <w:sz w:val="30"/>
          <w:szCs w:val="30"/>
        </w:rPr>
        <w:t>，包括单位从个人工资中直接为其代扣或代缴的房费、水费、电费、住房公积金和社会保险基金个人缴纳部分等。</w:t>
      </w:r>
      <w:r>
        <w:rPr>
          <w:rFonts w:hint="eastAsia" w:ascii="仿宋" w:hAnsi="仿宋" w:eastAsia="仿宋" w:cs="仿宋"/>
          <w:spacing w:val="8"/>
          <w:sz w:val="30"/>
          <w:szCs w:val="30"/>
        </w:rPr>
        <w:t>工资总额</w:t>
      </w:r>
      <w:r>
        <w:rPr>
          <w:rFonts w:hint="eastAsia" w:ascii="仿宋" w:hAnsi="仿宋" w:eastAsia="仿宋" w:cs="仿宋"/>
          <w:sz w:val="30"/>
          <w:szCs w:val="30"/>
        </w:rPr>
        <w:t>不论是计入成本的还是不计入成本的，不论是以货币形式支付的还是以实物形式支付的，均应列入工资总额的计算范围。</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工资总额的口径和要求与国家统计局基层年报表式《从业人员及工资总额》I 102表的填报要求一致。工资总额应包含:（1）基本工资（2）各种绩效工资（包括年度、季度、月度等绩效奖金、全勤奖、生产奖、节约奖、劳动竞赛奖和其他名目的奖金以及某工作事项完成后的提成工资、年底双薪等）（3）值加班工资（4）各类工资性津贴补贴（补偿特殊或额外劳动消耗的津贴及岗位性津贴、保健性津贴、技术性津贴、地区津贴和其他津贴）。如：过节费、通讯补贴、交通补贴、</w:t>
      </w:r>
      <w:r>
        <w:rPr>
          <w:rFonts w:hint="eastAsia" w:ascii="仿宋" w:hAnsi="仿宋" w:eastAsia="仿宋" w:cs="仿宋"/>
          <w:b/>
          <w:bCs/>
          <w:color w:val="C00000"/>
          <w:sz w:val="30"/>
          <w:szCs w:val="30"/>
        </w:rPr>
        <w:t>公车改革补贴、</w:t>
      </w:r>
      <w:r>
        <w:rPr>
          <w:rFonts w:hint="eastAsia" w:ascii="仿宋" w:hAnsi="仿宋" w:eastAsia="仿宋" w:cs="仿宋"/>
          <w:sz w:val="30"/>
          <w:szCs w:val="30"/>
        </w:rPr>
        <w:t>不休假补贴、无食堂补贴、单位发给员工的</w:t>
      </w:r>
      <w:r>
        <w:rPr>
          <w:rFonts w:hint="eastAsia" w:ascii="仿宋" w:hAnsi="仿宋" w:eastAsia="仿宋" w:cs="仿宋"/>
          <w:b/>
          <w:bCs/>
          <w:color w:val="C00000"/>
          <w:sz w:val="30"/>
          <w:szCs w:val="30"/>
        </w:rPr>
        <w:t>可自行支配的住房补贴</w:t>
      </w:r>
      <w:r>
        <w:rPr>
          <w:rFonts w:hint="eastAsia" w:ascii="仿宋" w:hAnsi="仿宋" w:eastAsia="仿宋" w:cs="仿宋"/>
          <w:color w:val="FF0000"/>
          <w:sz w:val="30"/>
          <w:szCs w:val="30"/>
        </w:rPr>
        <w:t>，</w:t>
      </w:r>
      <w:r>
        <w:rPr>
          <w:rFonts w:hint="eastAsia" w:ascii="仿宋" w:hAnsi="仿宋" w:eastAsia="仿宋" w:cs="仿宋"/>
          <w:sz w:val="30"/>
          <w:szCs w:val="30"/>
        </w:rPr>
        <w:t>以及</w:t>
      </w:r>
      <w:r>
        <w:rPr>
          <w:rFonts w:hint="eastAsia" w:ascii="仿宋" w:hAnsi="仿宋" w:eastAsia="仿宋" w:cs="仿宋"/>
          <w:b/>
          <w:bCs/>
          <w:color w:val="C00000"/>
          <w:sz w:val="30"/>
          <w:szCs w:val="30"/>
        </w:rPr>
        <w:t>为员工缴纳的各种商业性保险</w:t>
      </w:r>
      <w:r>
        <w:rPr>
          <w:rFonts w:hint="eastAsia" w:ascii="仿宋" w:hAnsi="仿宋" w:eastAsia="仿宋" w:cs="仿宋"/>
          <w:sz w:val="30"/>
          <w:szCs w:val="30"/>
        </w:rPr>
        <w:t>等。(5)其他不能包括在上述发给在岗职工的工资。</w:t>
      </w:r>
      <w:r>
        <w:rPr>
          <w:rFonts w:hint="eastAsia" w:ascii="仿宋" w:hAnsi="仿宋" w:eastAsia="仿宋" w:cs="仿宋"/>
          <w:b/>
          <w:bCs/>
          <w:color w:val="C00000"/>
          <w:sz w:val="30"/>
          <w:szCs w:val="30"/>
        </w:rPr>
        <w:t>工资总额不包括入股分红、股权激励兑现和各种资本性收益。</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（4）劳务派遣人员之外的人员以</w:t>
      </w:r>
      <w:r>
        <w:rPr>
          <w:rFonts w:hint="eastAsia" w:ascii="仿宋" w:hAnsi="仿宋" w:eastAsia="仿宋" w:cs="仿宋"/>
          <w:b/>
          <w:bCs/>
          <w:color w:val="C00000"/>
          <w:sz w:val="30"/>
          <w:szCs w:val="30"/>
        </w:rPr>
        <w:t>“谁发工资谁统计”</w:t>
      </w:r>
      <w:r>
        <w:rPr>
          <w:rFonts w:hint="eastAsia" w:ascii="仿宋" w:hAnsi="仿宋" w:eastAsia="仿宋" w:cs="仿宋"/>
          <w:sz w:val="30"/>
          <w:szCs w:val="30"/>
        </w:rPr>
        <w:t>为基本原则，劳务派遣人员按照</w:t>
      </w:r>
      <w:r>
        <w:rPr>
          <w:rFonts w:hint="eastAsia" w:ascii="仿宋" w:hAnsi="仿宋" w:eastAsia="仿宋" w:cs="仿宋"/>
          <w:b/>
          <w:bCs/>
          <w:color w:val="C00000"/>
          <w:sz w:val="30"/>
          <w:szCs w:val="30"/>
        </w:rPr>
        <w:t>“谁用工谁统计”</w:t>
      </w:r>
      <w:r>
        <w:rPr>
          <w:rFonts w:hint="eastAsia" w:ascii="仿宋" w:hAnsi="仿宋" w:eastAsia="仿宋" w:cs="仿宋"/>
          <w:sz w:val="30"/>
          <w:szCs w:val="30"/>
        </w:rPr>
        <w:t>的原则统计。法人单位在本地区以外的产业活动单位其人员和工资应包含在法人单位中。</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（八）在岗职工工资总额</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“在岗职工工资总额”是指本单位在报告期内直接支付给本单位全部在岗职工的劳动报酬总额。</w:t>
      </w:r>
    </w:p>
    <w:p>
      <w:pPr>
        <w:pStyle w:val="22"/>
        <w:adjustRightInd w:val="0"/>
        <w:snapToGrid w:val="0"/>
        <w:spacing w:after="0" w:line="360" w:lineRule="auto"/>
        <w:ind w:firstLine="602" w:firstLineChars="200"/>
        <w:rPr>
          <w:rFonts w:ascii="仿宋" w:hAnsi="仿宋" w:eastAsia="仿宋" w:cs="仿宋"/>
          <w:color w:val="C00000"/>
          <w:sz w:val="30"/>
          <w:szCs w:val="30"/>
        </w:rPr>
      </w:pPr>
      <w:r>
        <w:rPr>
          <w:rFonts w:hint="eastAsia" w:ascii="仿宋" w:hAnsi="仿宋" w:eastAsia="仿宋" w:cs="仿宋"/>
          <w:b/>
          <w:bCs/>
          <w:color w:val="C00000"/>
          <w:sz w:val="30"/>
          <w:szCs w:val="30"/>
        </w:rPr>
        <w:t>填报要求：必填，大于等于零的数字，单位为万元/年，保留两位小数。</w:t>
      </w:r>
    </w:p>
    <w:p>
      <w:pPr>
        <w:pStyle w:val="22"/>
        <w:adjustRightInd w:val="0"/>
        <w:snapToGrid w:val="0"/>
        <w:spacing w:after="0" w:line="360" w:lineRule="auto"/>
        <w:ind w:firstLine="600" w:firstLineChars="200"/>
        <w:rPr>
          <w:rFonts w:ascii="楷体" w:hAnsi="楷体" w:eastAsia="楷体"/>
          <w:color w:val="FF0000"/>
          <w:sz w:val="30"/>
          <w:szCs w:val="30"/>
        </w:rPr>
      </w:pPr>
      <w:r>
        <w:rPr>
          <w:rFonts w:hint="eastAsia" w:ascii="楷体" w:hAnsi="楷体" w:eastAsia="楷体"/>
          <w:sz w:val="30"/>
          <w:szCs w:val="30"/>
        </w:rPr>
        <w:t>（九）劳务派遣人员工资总额</w:t>
      </w:r>
    </w:p>
    <w:p>
      <w:pPr>
        <w:pStyle w:val="22"/>
        <w:adjustRightInd w:val="0"/>
        <w:snapToGrid w:val="0"/>
        <w:spacing w:after="0" w:line="360" w:lineRule="auto"/>
        <w:ind w:firstLine="600" w:firstLineChars="200"/>
        <w:rPr>
          <w:rFonts w:ascii="仿宋" w:hAnsi="仿宋" w:eastAsia="仿宋" w:cs="仿宋"/>
          <w:b/>
          <w:bCs/>
          <w:color w:val="C00000"/>
          <w:sz w:val="30"/>
          <w:szCs w:val="30"/>
        </w:rPr>
      </w:pPr>
      <w:r>
        <w:rPr>
          <w:rFonts w:hint="eastAsia" w:ascii="仿宋" w:hAnsi="仿宋" w:eastAsia="仿宋" w:cs="仿宋"/>
          <w:sz w:val="30"/>
          <w:szCs w:val="30"/>
        </w:rPr>
        <w:t>“劳务派遣人员工资总额”是指实际用工单位（派遣人员的使用方）在一定时期内为使用劳务派遣人员而付出的劳动报酬总额，</w:t>
      </w:r>
      <w:r>
        <w:rPr>
          <w:rFonts w:hint="eastAsia" w:ascii="仿宋" w:hAnsi="仿宋" w:eastAsia="仿宋" w:cs="仿宋"/>
          <w:b/>
          <w:bCs/>
          <w:color w:val="C00000"/>
          <w:sz w:val="30"/>
          <w:szCs w:val="30"/>
        </w:rPr>
        <w:t>不包括因使用派遣人员而支付的管理费用和其他用工成本。</w:t>
      </w:r>
    </w:p>
    <w:p>
      <w:pPr>
        <w:pStyle w:val="33"/>
        <w:snapToGrid w:val="0"/>
        <w:spacing w:after="0"/>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填报要求：必填，大于等于零的数字，单位为万元/年，保留两位小数。如果本表前述 “劳务派遣人员”人数不为零，则此值不能为零；“劳务派遣人员”人数为零，则此值也为零。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（十）福利费用</w:t>
      </w: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指企业在工资以外实际支付给从业人员个人以及用于集体的福利费用的总称。主要包括企业支付给从业人员的冬季取暖补贴费（也包括企业实际支付给享受集体供暖的从业人员个人的部分）、医疗卫生费、计划生育补贴、生活困难补助、文体宣传费、集体福利设施和集体福利事业补贴费（包括集体、生活福利设施，如职工食堂、托儿所、幼儿园、浴室、理发室、妇女卫生室、医务室等，以及文化福利设施如文化宫、俱乐部、青少年宫、图书室、体育场、游泳池、职工之家、老年人活动中心等）及丧葬抚恤救济费、职工因工负伤赴外地就医路费、物业管理费、上下班交通补贴等。</w:t>
      </w:r>
    </w:p>
    <w:p>
      <w:pPr>
        <w:pStyle w:val="33"/>
        <w:snapToGrid w:val="0"/>
        <w:spacing w:after="0"/>
        <w:ind w:firstLine="602"/>
        <w:rPr>
          <w:rFonts w:ascii="仿宋" w:hAnsi="仿宋" w:eastAsia="仿宋" w:cs="仿宋"/>
          <w:b/>
          <w:bCs/>
          <w:sz w:val="30"/>
          <w:szCs w:val="30"/>
          <w:highlight w:val="yellow"/>
        </w:rPr>
      </w:pPr>
      <w:r>
        <w:rPr>
          <w:rFonts w:hint="eastAsia" w:ascii="仿宋" w:hAnsi="仿宋" w:eastAsia="仿宋" w:cs="仿宋"/>
          <w:b/>
          <w:bCs/>
          <w:color w:val="C00000"/>
          <w:sz w:val="30"/>
          <w:szCs w:val="30"/>
        </w:rPr>
        <w:t>填报要求：必填，大于零的数字，单位为万元/年，保留两位小数。当年没有发生该项费用的，填零。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（十一）教育经费</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指企业为职工学习先进技术和提高文化水平而支付的费用。包括岗前培训、在职提高培训、转岗培训、派外培训、职业道德等方面的培训费用和企业自办大中专、职业技术院校等培训场所发生的费用以及职业技能鉴定费用。包括企业停工期间支付的教育经费。</w:t>
      </w:r>
    </w:p>
    <w:p>
      <w:pPr>
        <w:pStyle w:val="33"/>
        <w:snapToGrid w:val="0"/>
        <w:spacing w:after="0"/>
        <w:ind w:firstLine="602"/>
        <w:rPr>
          <w:rFonts w:ascii="仿宋" w:hAnsi="仿宋" w:eastAsia="仿宋" w:cs="仿宋"/>
          <w:b/>
          <w:sz w:val="30"/>
          <w:szCs w:val="30"/>
        </w:rPr>
      </w:pPr>
      <w:r>
        <w:rPr>
          <w:rFonts w:hint="eastAsia" w:ascii="仿宋" w:hAnsi="仿宋" w:eastAsia="仿宋" w:cs="仿宋"/>
          <w:b/>
          <w:bCs/>
          <w:color w:val="C00000"/>
          <w:sz w:val="30"/>
          <w:szCs w:val="30"/>
        </w:rPr>
        <w:t>填报要求：必填，大于等于零的数字，单位为万元/年，保留两位小数。当年没有发生该项费用的，填零。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（十二）保险费用</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指根据国家法律，由企业承担的各项社会保险费用和补充保险费用，包括养老保险、医疗保险、失业保险、工伤保险、生育保险等费用，也包括企业缴纳的年金（补充养老保险）、补充医疗保险或储蓄性医疗保险。不包括不在岗人员的社会保险费用。</w:t>
      </w:r>
    </w:p>
    <w:p>
      <w:pPr>
        <w:pStyle w:val="33"/>
        <w:snapToGrid w:val="0"/>
        <w:spacing w:after="0"/>
        <w:ind w:firstLine="602"/>
        <w:rPr>
          <w:rFonts w:ascii="仿宋" w:hAnsi="仿宋" w:eastAsia="仿宋" w:cs="仿宋"/>
          <w:color w:val="C00000"/>
          <w:sz w:val="30"/>
          <w:szCs w:val="30"/>
        </w:rPr>
      </w:pPr>
      <w:r>
        <w:rPr>
          <w:rFonts w:hint="eastAsia" w:ascii="仿宋" w:hAnsi="仿宋" w:eastAsia="仿宋" w:cs="仿宋"/>
          <w:b/>
          <w:bCs/>
          <w:color w:val="C00000"/>
          <w:sz w:val="30"/>
          <w:szCs w:val="30"/>
        </w:rPr>
        <w:t>填报要求：必填，大于等于零的数字，单位为万元/年，保留两位小数。当年没有发生该项费用的，填零。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（十三）劳动保护费用</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指企业为实施安全技术措施、工业卫生等发生的费用，以及用于职工劳动保护用品（如保健用品、清凉用品、工作服等）的费用。它不包括劳动保护设备的购置费、维修费以及个人只能在工作现场使用的特殊用品。</w:t>
      </w:r>
    </w:p>
    <w:p>
      <w:pPr>
        <w:pStyle w:val="33"/>
        <w:snapToGrid w:val="0"/>
        <w:spacing w:after="0"/>
        <w:ind w:firstLine="602"/>
        <w:rPr>
          <w:rFonts w:ascii="仿宋" w:hAnsi="仿宋" w:eastAsia="仿宋" w:cs="仿宋"/>
          <w:b/>
          <w:color w:val="C00000"/>
          <w:sz w:val="30"/>
          <w:szCs w:val="30"/>
        </w:rPr>
      </w:pPr>
      <w:r>
        <w:rPr>
          <w:rFonts w:hint="eastAsia" w:ascii="仿宋" w:hAnsi="仿宋" w:eastAsia="仿宋" w:cs="仿宋"/>
          <w:b/>
          <w:bCs/>
          <w:color w:val="C00000"/>
          <w:sz w:val="30"/>
          <w:szCs w:val="30"/>
        </w:rPr>
        <w:t>填报要求：必填，大于等于零的数字，单位为万元/年，保留两位小数。当年没有发生该项费用的，填零。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（十四）住房费用</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指企业为改善从业人员的居住条件而支付的所有费用。具体包括职工宿舍的折旧费、</w:t>
      </w:r>
      <w:r>
        <w:rPr>
          <w:rFonts w:hint="eastAsia" w:ascii="仿宋" w:hAnsi="仿宋" w:eastAsia="仿宋" w:cs="仿宋"/>
          <w:b/>
          <w:bCs/>
          <w:color w:val="C00000"/>
          <w:sz w:val="30"/>
          <w:szCs w:val="30"/>
        </w:rPr>
        <w:t>企业交纳的住房公积金、</w:t>
      </w:r>
      <w:r>
        <w:rPr>
          <w:rFonts w:hint="eastAsia" w:ascii="仿宋" w:hAnsi="仿宋" w:eastAsia="仿宋" w:cs="仿宋"/>
          <w:sz w:val="30"/>
          <w:szCs w:val="30"/>
        </w:rPr>
        <w:t>实际支付给职工的</w:t>
      </w:r>
      <w:r>
        <w:rPr>
          <w:rFonts w:hint="eastAsia" w:ascii="仿宋" w:hAnsi="仿宋" w:eastAsia="仿宋" w:cs="仿宋"/>
          <w:color w:val="C00000"/>
          <w:sz w:val="30"/>
          <w:szCs w:val="30"/>
        </w:rPr>
        <w:t>用于住房支出</w:t>
      </w:r>
      <w:r>
        <w:rPr>
          <w:rFonts w:hint="eastAsia" w:ascii="仿宋" w:hAnsi="仿宋" w:eastAsia="仿宋" w:cs="仿宋"/>
          <w:sz w:val="30"/>
          <w:szCs w:val="30"/>
        </w:rPr>
        <w:t>的补贴（包括为职工租用房屋的租金、租房差价补贴、购房差价补贴等）和按规定为职工提供的住房困难补助及企业住房的维修费和管理费等。</w:t>
      </w:r>
    </w:p>
    <w:p>
      <w:pPr>
        <w:pStyle w:val="33"/>
        <w:snapToGrid w:val="0"/>
        <w:spacing w:after="0"/>
        <w:ind w:firstLine="602"/>
        <w:rPr>
          <w:rFonts w:ascii="仿宋" w:hAnsi="仿宋" w:eastAsia="仿宋" w:cs="仿宋"/>
          <w:color w:val="C00000"/>
          <w:sz w:val="30"/>
          <w:szCs w:val="30"/>
        </w:rPr>
      </w:pPr>
      <w:r>
        <w:rPr>
          <w:rFonts w:hint="eastAsia" w:ascii="仿宋" w:hAnsi="仿宋" w:eastAsia="仿宋" w:cs="仿宋"/>
          <w:b/>
          <w:bCs/>
          <w:color w:val="C00000"/>
          <w:sz w:val="30"/>
          <w:szCs w:val="30"/>
        </w:rPr>
        <w:t>填报要求：必填，大于等于零的数字，单位为万元/年，保留两位小数。当年没有发生该项费用的，填零。</w:t>
      </w:r>
    </w:p>
    <w:p>
      <w:pPr>
        <w:pStyle w:val="22"/>
        <w:adjustRightInd w:val="0"/>
        <w:snapToGrid w:val="0"/>
        <w:spacing w:after="0" w:line="360" w:lineRule="auto"/>
        <w:ind w:firstLine="600" w:firstLineChars="200"/>
        <w:rPr>
          <w:rFonts w:ascii="楷体" w:hAnsi="楷体" w:eastAsia="楷体"/>
          <w:sz w:val="30"/>
          <w:szCs w:val="30"/>
        </w:rPr>
      </w:pPr>
      <w:r>
        <w:rPr>
          <w:rFonts w:hint="eastAsia" w:ascii="楷体" w:hAnsi="楷体" w:eastAsia="楷体"/>
          <w:sz w:val="30"/>
          <w:szCs w:val="30"/>
        </w:rPr>
        <w:t>（十五）其他人工成本</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指不包括在以上各项中的其他人工成本项目。包括工会经费，企业因招聘职工而实际花费的职工招聘费、咨询费、外聘人员劳务费，企业支付实行租赁、承租经营企业的承租人、承包人的风险补偿费等，解除劳动合同或终止劳动合同的补偿费用、在本企业领取劳动报酬的外籍从业人员费用以及企业因使用</w:t>
      </w:r>
      <w:r>
        <w:rPr>
          <w:rFonts w:hint="eastAsia" w:ascii="仿宋" w:hAnsi="仿宋" w:eastAsia="仿宋" w:cs="仿宋"/>
          <w:b/>
          <w:bCs/>
          <w:color w:val="C00000"/>
          <w:sz w:val="30"/>
          <w:szCs w:val="30"/>
        </w:rPr>
        <w:t>劳务派遣人员而发生的管理费用和其它用工成本</w:t>
      </w:r>
      <w:r>
        <w:rPr>
          <w:rFonts w:hint="eastAsia" w:ascii="仿宋" w:hAnsi="仿宋" w:eastAsia="仿宋" w:cs="仿宋"/>
          <w:sz w:val="30"/>
          <w:szCs w:val="30"/>
        </w:rPr>
        <w:t>等。</w:t>
      </w:r>
    </w:p>
    <w:p>
      <w:pPr>
        <w:pStyle w:val="33"/>
        <w:snapToGrid w:val="0"/>
        <w:spacing w:after="0"/>
        <w:ind w:firstLine="602"/>
        <w:rPr>
          <w:rFonts w:ascii="仿宋" w:hAnsi="仿宋" w:eastAsia="仿宋" w:cs="仿宋"/>
          <w:b/>
          <w:bCs/>
          <w:color w:val="C00000"/>
          <w:sz w:val="30"/>
          <w:szCs w:val="30"/>
        </w:rPr>
      </w:pPr>
      <w:bookmarkStart w:id="134" w:name="_Hlk92039308"/>
      <w:r>
        <w:rPr>
          <w:rFonts w:hint="eastAsia" w:ascii="仿宋" w:hAnsi="仿宋" w:eastAsia="仿宋" w:cs="仿宋"/>
          <w:b/>
          <w:bCs/>
          <w:color w:val="C00000"/>
          <w:sz w:val="30"/>
          <w:szCs w:val="30"/>
        </w:rPr>
        <w:t>填报要求：必填，大于等于零的数字，单位为万元/年，保留两位小数。当年没有发生该项费用的，填零。</w:t>
      </w:r>
      <w:bookmarkStart w:id="135" w:name="_Toc305917132"/>
      <w:bookmarkStart w:id="136" w:name="_Toc6863"/>
      <w:bookmarkStart w:id="137" w:name="_Toc10628"/>
      <w:bookmarkStart w:id="138" w:name="_Toc23450"/>
      <w:bookmarkStart w:id="139" w:name="_Toc12835"/>
      <w:bookmarkStart w:id="140" w:name="_Toc24301"/>
      <w:bookmarkStart w:id="141" w:name="_Toc4731"/>
      <w:bookmarkStart w:id="142" w:name="_Toc386551025"/>
      <w:bookmarkStart w:id="143" w:name="_Toc333414111"/>
      <w:bookmarkStart w:id="144" w:name="_Toc6"/>
      <w:bookmarkStart w:id="145" w:name="_Toc477337981"/>
      <w:bookmarkStart w:id="146" w:name="_Toc386552337"/>
      <w:bookmarkStart w:id="147" w:name="_Toc516776670"/>
      <w:bookmarkStart w:id="148" w:name="_Toc386552429"/>
    </w:p>
    <w:bookmarkEnd w:id="134"/>
    <w:p>
      <w:pPr>
        <w:pStyle w:val="33"/>
        <w:snapToGrid w:val="0"/>
        <w:spacing w:line="600" w:lineRule="exact"/>
        <w:ind w:firstLine="600"/>
        <w:rPr>
          <w:rFonts w:ascii="楷体" w:hAnsi="楷体" w:eastAsia="楷体"/>
          <w:sz w:val="30"/>
          <w:szCs w:val="30"/>
        </w:rPr>
      </w:pPr>
      <w:r>
        <w:rPr>
          <w:rFonts w:hint="eastAsia" w:ascii="楷体" w:hAnsi="楷体" w:eastAsia="楷体"/>
          <w:sz w:val="30"/>
          <w:szCs w:val="30"/>
        </w:rPr>
        <w:t>（十六）从业人员平均工资年度预期增长率</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指企业计划或预期在下一个全调查周期（即2022年度）支出的从业人员平均工资，相比调查期（即2021年度）实际支出从业人员平均工资的增长情况。即：</w:t>
      </w:r>
    </w:p>
    <w:p>
      <w:pPr>
        <w:pStyle w:val="33"/>
        <w:snapToGrid w:val="0"/>
        <w:spacing w:after="0"/>
        <w:ind w:firstLine="600"/>
        <w:rPr>
          <w:rFonts w:ascii="仿宋" w:hAnsi="仿宋" w:eastAsia="仿宋" w:cs="仿宋"/>
          <w:sz w:val="30"/>
          <w:szCs w:val="30"/>
        </w:rPr>
      </w:pPr>
      <w:r>
        <w:rPr>
          <w:rFonts w:hint="eastAsia" w:ascii="仿宋" w:hAnsi="仿宋" w:eastAsia="仿宋" w:cs="仿宋"/>
          <w:sz w:val="30"/>
          <w:szCs w:val="30"/>
        </w:rPr>
        <w:t>从业人员平均工资年度预期增长率=（2022年度计划或预期的从业人员平均工资÷2021年度实际支出的平均工资-1）×100%</w:t>
      </w:r>
    </w:p>
    <w:p>
      <w:pPr>
        <w:pStyle w:val="33"/>
        <w:snapToGrid w:val="0"/>
        <w:spacing w:after="0"/>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填报要求：必填。单位为%，保留一位小数。大于等于-</w:t>
      </w:r>
      <w:r>
        <w:rPr>
          <w:rFonts w:ascii="仿宋" w:hAnsi="仿宋" w:eastAsia="仿宋" w:cs="仿宋"/>
          <w:b/>
          <w:bCs/>
          <w:color w:val="C00000"/>
          <w:sz w:val="30"/>
          <w:szCs w:val="30"/>
        </w:rPr>
        <w:t>20%</w:t>
      </w:r>
      <w:r>
        <w:rPr>
          <w:rFonts w:hint="eastAsia" w:ascii="仿宋" w:hAnsi="仿宋" w:eastAsia="仿宋" w:cs="仿宋"/>
          <w:b/>
          <w:bCs/>
          <w:color w:val="C00000"/>
          <w:sz w:val="30"/>
          <w:szCs w:val="30"/>
        </w:rPr>
        <w:t>，小于等于2</w:t>
      </w:r>
      <w:r>
        <w:rPr>
          <w:rFonts w:ascii="仿宋" w:hAnsi="仿宋" w:eastAsia="仿宋" w:cs="仿宋"/>
          <w:b/>
          <w:bCs/>
          <w:color w:val="C00000"/>
          <w:sz w:val="30"/>
          <w:szCs w:val="30"/>
        </w:rPr>
        <w:t>0%</w:t>
      </w:r>
      <w:r>
        <w:rPr>
          <w:rFonts w:hint="eastAsia" w:ascii="仿宋" w:hAnsi="仿宋" w:eastAsia="仿宋" w:cs="仿宋"/>
          <w:b/>
          <w:bCs/>
          <w:color w:val="C00000"/>
          <w:sz w:val="30"/>
          <w:szCs w:val="30"/>
        </w:rPr>
        <w:t>。填报时，统筹考虑在岗职工和派遣人员的工资增长幅度。填写者应当听取企业经营决策人员或其他有关人员的关于薪资调整的意见。</w:t>
      </w:r>
    </w:p>
    <w:p>
      <w:pPr>
        <w:rPr>
          <w:rFonts w:ascii="仿宋" w:hAnsi="仿宋" w:eastAsia="仿宋" w:cs="仿宋"/>
          <w:b/>
          <w:bCs/>
          <w:sz w:val="30"/>
          <w:szCs w:val="30"/>
          <w:highlight w:val="yellow"/>
        </w:rPr>
      </w:pPr>
      <w:r>
        <w:rPr>
          <w:rFonts w:ascii="仿宋" w:hAnsi="仿宋" w:eastAsia="仿宋" w:cs="仿宋"/>
          <w:b/>
          <w:bCs/>
          <w:sz w:val="30"/>
          <w:szCs w:val="30"/>
          <w:highlight w:val="yellow"/>
        </w:rPr>
        <w:br w:type="page"/>
      </w:r>
    </w:p>
    <w:p>
      <w:pPr>
        <w:pStyle w:val="33"/>
        <w:snapToGrid w:val="0"/>
        <w:spacing w:after="0"/>
        <w:ind w:firstLine="602"/>
        <w:rPr>
          <w:rFonts w:ascii="仿宋" w:hAnsi="仿宋" w:eastAsia="仿宋" w:cs="仿宋"/>
          <w:b/>
          <w:bCs/>
          <w:sz w:val="30"/>
          <w:szCs w:val="30"/>
          <w:highlight w:val="yellow"/>
        </w:rPr>
      </w:pPr>
    </w:p>
    <w:p>
      <w:pPr>
        <w:pStyle w:val="4"/>
      </w:pPr>
      <w:bookmarkStart w:id="149" w:name="_Toc93509812"/>
      <w:r>
        <w:rPr>
          <w:rFonts w:hint="eastAsia"/>
        </w:rPr>
        <w:t>三</w:t>
      </w:r>
      <w:r>
        <w:t>、</w:t>
      </w:r>
      <w:r>
        <w:rPr>
          <w:rFonts w:hint="eastAsia"/>
        </w:rPr>
        <w:t>企业从业人员</w:t>
      </w:r>
      <w:r>
        <w:t>工资报酬</w:t>
      </w:r>
      <w:r>
        <w:rPr>
          <w:rFonts w:hint="eastAsia"/>
        </w:rPr>
        <w:t>情况</w:t>
      </w:r>
      <w:r>
        <w:t>调查</w:t>
      </w:r>
      <w:bookmarkEnd w:id="135"/>
      <w:r>
        <w:rPr>
          <w:rFonts w:hint="eastAsia"/>
        </w:rPr>
        <w:t>表</w:t>
      </w:r>
      <w:r>
        <w:t>有关指标</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29"/>
      </w:pPr>
      <w:r>
        <w:rPr>
          <w:rFonts w:hint="eastAsia"/>
          <w:sz w:val="32"/>
          <w:szCs w:val="32"/>
        </w:rPr>
        <w:t>企业从业人员工资报酬情况</w:t>
      </w:r>
    </w:p>
    <w:p>
      <w:pPr>
        <w:spacing w:line="240" w:lineRule="exact"/>
        <w:ind w:left="5527" w:leftChars="2632"/>
        <w:rPr>
          <w:sz w:val="18"/>
          <w:szCs w:val="18"/>
        </w:rPr>
      </w:pPr>
      <w:r>
        <w:rPr>
          <w:rFonts w:hint="eastAsia"/>
          <w:sz w:val="18"/>
          <w:szCs w:val="18"/>
        </w:rPr>
        <w:t>表</w:t>
      </w:r>
      <w:r>
        <w:rPr>
          <w:sz w:val="18"/>
          <w:szCs w:val="18"/>
        </w:rPr>
        <w:t xml:space="preserve">    </w:t>
      </w:r>
      <w:r>
        <w:rPr>
          <w:rFonts w:hint="eastAsia"/>
          <w:sz w:val="18"/>
          <w:szCs w:val="18"/>
        </w:rPr>
        <w:t>号：人社统</w:t>
      </w:r>
      <w:r>
        <w:rPr>
          <w:sz w:val="18"/>
          <w:szCs w:val="18"/>
        </w:rPr>
        <w:t>IR6</w:t>
      </w:r>
      <w:r>
        <w:rPr>
          <w:rFonts w:hint="eastAsia"/>
          <w:sz w:val="18"/>
          <w:szCs w:val="18"/>
        </w:rPr>
        <w:t>号</w:t>
      </w:r>
    </w:p>
    <w:p>
      <w:pPr>
        <w:spacing w:line="240" w:lineRule="exact"/>
        <w:ind w:left="5527" w:leftChars="2632"/>
        <w:rPr>
          <w:sz w:val="18"/>
          <w:szCs w:val="18"/>
        </w:rPr>
      </w:pPr>
      <w:r>
        <w:rPr>
          <w:rFonts w:hint="eastAsia"/>
          <w:sz w:val="18"/>
          <w:szCs w:val="18"/>
        </w:rPr>
        <w:t>制定机关：人力资源和社会保障部</w:t>
      </w:r>
    </w:p>
    <w:p>
      <w:pPr>
        <w:tabs>
          <w:tab w:val="left" w:pos="5115"/>
        </w:tabs>
        <w:spacing w:line="240" w:lineRule="exact"/>
        <w:ind w:left="5527" w:leftChars="2632"/>
        <w:rPr>
          <w:sz w:val="18"/>
          <w:szCs w:val="18"/>
        </w:rPr>
      </w:pPr>
      <w:r>
        <w:rPr>
          <w:rFonts w:hint="eastAsia"/>
          <w:sz w:val="18"/>
          <w:szCs w:val="18"/>
        </w:rPr>
        <w:t>批准机关：国家统计局</w:t>
      </w:r>
    </w:p>
    <w:p>
      <w:pPr>
        <w:tabs>
          <w:tab w:val="left" w:pos="5115"/>
        </w:tabs>
        <w:spacing w:line="240" w:lineRule="exact"/>
        <w:ind w:left="5527" w:leftChars="2632"/>
        <w:rPr>
          <w:sz w:val="18"/>
          <w:szCs w:val="18"/>
        </w:rPr>
      </w:pPr>
      <w:r>
        <w:rPr>
          <w:rFonts w:hint="eastAsia"/>
          <w:sz w:val="18"/>
          <w:szCs w:val="18"/>
        </w:rPr>
        <w:t>批准文号：国统制</w:t>
      </w:r>
      <w:r>
        <w:rPr>
          <w:rFonts w:ascii="宋体" w:hAnsi="宋体" w:eastAsia="宋体" w:cs="宋体"/>
          <w:sz w:val="18"/>
          <w:szCs w:val="18"/>
        </w:rPr>
        <w:t>[</w:t>
      </w:r>
      <w:r>
        <w:rPr>
          <w:rFonts w:cs="宋体"/>
          <w:sz w:val="18"/>
          <w:szCs w:val="18"/>
        </w:rPr>
        <w:t>2022</w:t>
      </w:r>
      <w:r>
        <w:rPr>
          <w:rFonts w:ascii="宋体" w:hAnsi="宋体" w:eastAsia="宋体" w:cs="宋体"/>
          <w:sz w:val="18"/>
          <w:szCs w:val="18"/>
        </w:rPr>
        <w:t>]</w:t>
      </w:r>
      <w:r>
        <w:rPr>
          <w:rFonts w:cs="宋体"/>
          <w:sz w:val="18"/>
          <w:szCs w:val="18"/>
        </w:rPr>
        <w:t xml:space="preserve"> 15</w:t>
      </w:r>
      <w:r>
        <w:rPr>
          <w:rFonts w:hint="eastAsia"/>
          <w:sz w:val="18"/>
          <w:szCs w:val="18"/>
        </w:rPr>
        <w:t>号</w:t>
      </w:r>
    </w:p>
    <w:p>
      <w:pPr>
        <w:tabs>
          <w:tab w:val="left" w:pos="5115"/>
        </w:tabs>
        <w:spacing w:line="240" w:lineRule="exact"/>
        <w:ind w:left="5527" w:leftChars="2632"/>
        <w:rPr>
          <w:sz w:val="18"/>
          <w:szCs w:val="18"/>
        </w:rPr>
      </w:pPr>
      <w:r>
        <w:rPr>
          <w:rFonts w:hint="eastAsia"/>
          <w:sz w:val="18"/>
          <w:szCs w:val="18"/>
        </w:rPr>
        <w:t>有效期至：</w:t>
      </w:r>
      <w:r>
        <w:rPr>
          <w:sz w:val="18"/>
          <w:szCs w:val="18"/>
        </w:rPr>
        <w:t>20</w:t>
      </w:r>
      <w:r>
        <w:rPr>
          <w:rFonts w:hint="eastAsia"/>
          <w:sz w:val="18"/>
          <w:szCs w:val="18"/>
          <w:lang w:val="en-US" w:eastAsia="zh-CN"/>
        </w:rPr>
        <w:t>25</w:t>
      </w:r>
      <w:r>
        <w:rPr>
          <w:rFonts w:hint="eastAsia"/>
          <w:sz w:val="18"/>
          <w:szCs w:val="18"/>
        </w:rPr>
        <w:t>年</w:t>
      </w:r>
      <w:r>
        <w:rPr>
          <w:rFonts w:hint="eastAsia"/>
          <w:sz w:val="18"/>
          <w:szCs w:val="18"/>
          <w:lang w:val="en-US" w:eastAsia="zh-CN"/>
        </w:rPr>
        <w:t>1</w:t>
      </w:r>
      <w:r>
        <w:rPr>
          <w:rFonts w:hint="eastAsia"/>
          <w:sz w:val="18"/>
          <w:szCs w:val="18"/>
        </w:rPr>
        <w:t>月</w:t>
      </w:r>
    </w:p>
    <w:p>
      <w:pPr>
        <w:tabs>
          <w:tab w:val="left" w:pos="5115"/>
        </w:tabs>
        <w:spacing w:line="240" w:lineRule="exact"/>
        <w:jc w:val="center"/>
        <w:rPr>
          <w:rFonts w:cs="宋体"/>
          <w:sz w:val="22"/>
          <w:szCs w:val="22"/>
        </w:rPr>
      </w:pPr>
    </w:p>
    <w:p>
      <w:pPr>
        <w:tabs>
          <w:tab w:val="left" w:pos="5115"/>
        </w:tabs>
        <w:spacing w:line="240" w:lineRule="exact"/>
        <w:rPr>
          <w:sz w:val="18"/>
          <w:szCs w:val="18"/>
        </w:rPr>
      </w:pPr>
    </w:p>
    <w:p>
      <w:pPr>
        <w:tabs>
          <w:tab w:val="left" w:pos="5115"/>
        </w:tabs>
        <w:spacing w:line="240" w:lineRule="exact"/>
        <w:ind w:firstLine="270" w:firstLineChars="150"/>
        <w:rPr>
          <w:sz w:val="18"/>
          <w:szCs w:val="18"/>
        </w:rPr>
      </w:pPr>
      <w:r>
        <w:rPr>
          <w:rFonts w:hint="eastAsia"/>
          <w:sz w:val="18"/>
          <w:szCs w:val="18"/>
        </w:rPr>
        <w:t>统一社会信用代码□□□□□□□□□□□□□□□□□□</w:t>
      </w:r>
    </w:p>
    <w:p>
      <w:pPr>
        <w:tabs>
          <w:tab w:val="left" w:pos="5115"/>
        </w:tabs>
        <w:spacing w:line="240" w:lineRule="exact"/>
        <w:ind w:firstLine="270" w:firstLineChars="150"/>
        <w:rPr>
          <w:rFonts w:cs="宋体"/>
          <w:sz w:val="22"/>
          <w:szCs w:val="22"/>
        </w:rPr>
      </w:pPr>
      <w:r>
        <w:rPr>
          <w:rFonts w:hint="eastAsia"/>
          <w:sz w:val="18"/>
          <w:szCs w:val="18"/>
        </w:rPr>
        <w:t>法人单位名称：</w:t>
      </w:r>
      <w:r>
        <w:rPr>
          <w:sz w:val="18"/>
          <w:szCs w:val="18"/>
          <w:u w:val="single"/>
        </w:rPr>
        <w:t xml:space="preserve">                                    </w:t>
      </w:r>
    </w:p>
    <w:tbl>
      <w:tblPr>
        <w:tblStyle w:val="17"/>
        <w:tblpPr w:leftFromText="180" w:rightFromText="180" w:vertAnchor="text" w:horzAnchor="margin" w:tblpXSpec="center" w:tblpY="302"/>
        <w:tblW w:w="8779" w:type="dxa"/>
        <w:tblInd w:w="0" w:type="dxa"/>
        <w:tblLayout w:type="fixed"/>
        <w:tblCellMar>
          <w:top w:w="0" w:type="dxa"/>
          <w:left w:w="0" w:type="dxa"/>
          <w:bottom w:w="0" w:type="dxa"/>
          <w:right w:w="0" w:type="dxa"/>
        </w:tblCellMar>
      </w:tblPr>
      <w:tblGrid>
        <w:gridCol w:w="465"/>
        <w:gridCol w:w="465"/>
        <w:gridCol w:w="465"/>
        <w:gridCol w:w="465"/>
        <w:gridCol w:w="466"/>
        <w:gridCol w:w="466"/>
        <w:gridCol w:w="859"/>
        <w:gridCol w:w="420"/>
        <w:gridCol w:w="466"/>
        <w:gridCol w:w="542"/>
        <w:gridCol w:w="466"/>
        <w:gridCol w:w="466"/>
        <w:gridCol w:w="716"/>
        <w:gridCol w:w="634"/>
        <w:gridCol w:w="655"/>
        <w:gridCol w:w="763"/>
      </w:tblGrid>
      <w:tr>
        <w:tblPrEx>
          <w:tblCellMar>
            <w:top w:w="0" w:type="dxa"/>
            <w:left w:w="0" w:type="dxa"/>
            <w:bottom w:w="0" w:type="dxa"/>
            <w:right w:w="0" w:type="dxa"/>
          </w:tblCellMar>
        </w:tblPrEx>
        <w:trPr>
          <w:cantSplit/>
          <w:trHeight w:val="280" w:hRule="atLeast"/>
        </w:trPr>
        <w:tc>
          <w:tcPr>
            <w:tcW w:w="465" w:type="dxa"/>
            <w:vMerge w:val="restart"/>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职工</w:t>
            </w:r>
            <w:r>
              <w:rPr>
                <w:rFonts w:cs="宋体"/>
                <w:sz w:val="18"/>
                <w:szCs w:val="18"/>
              </w:rPr>
              <w:br w:type="textWrapping"/>
            </w:r>
            <w:r>
              <w:rPr>
                <w:rFonts w:hint="eastAsia" w:cs="宋体"/>
                <w:sz w:val="18"/>
                <w:szCs w:val="18"/>
              </w:rPr>
              <w:t>代码</w:t>
            </w:r>
          </w:p>
        </w:tc>
        <w:tc>
          <w:tcPr>
            <w:tcW w:w="465" w:type="dxa"/>
            <w:vMerge w:val="restart"/>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性别</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出生</w:t>
            </w:r>
            <w:r>
              <w:rPr>
                <w:rFonts w:cs="宋体"/>
                <w:sz w:val="18"/>
                <w:szCs w:val="18"/>
              </w:rPr>
              <w:br w:type="textWrapping"/>
            </w:r>
            <w:r>
              <w:rPr>
                <w:rFonts w:hint="eastAsia" w:cs="宋体"/>
                <w:sz w:val="18"/>
                <w:szCs w:val="18"/>
              </w:rPr>
              <w:t>年份</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学历</w:t>
            </w:r>
          </w:p>
        </w:tc>
        <w:tc>
          <w:tcPr>
            <w:tcW w:w="4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参加</w:t>
            </w:r>
            <w:r>
              <w:rPr>
                <w:rFonts w:cs="宋体"/>
                <w:sz w:val="18"/>
                <w:szCs w:val="18"/>
              </w:rPr>
              <w:br w:type="textWrapping"/>
            </w:r>
            <w:r>
              <w:rPr>
                <w:rFonts w:hint="eastAsia" w:cs="宋体"/>
                <w:sz w:val="18"/>
                <w:szCs w:val="18"/>
              </w:rPr>
              <w:t>工作</w:t>
            </w:r>
            <w:r>
              <w:rPr>
                <w:rFonts w:cs="宋体"/>
                <w:sz w:val="18"/>
                <w:szCs w:val="18"/>
              </w:rPr>
              <w:br w:type="textWrapping"/>
            </w:r>
            <w:r>
              <w:rPr>
                <w:rFonts w:hint="eastAsia" w:cs="宋体"/>
                <w:sz w:val="18"/>
                <w:szCs w:val="18"/>
              </w:rPr>
              <w:t>年份</w:t>
            </w:r>
          </w:p>
        </w:tc>
        <w:tc>
          <w:tcPr>
            <w:tcW w:w="4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职业</w:t>
            </w:r>
          </w:p>
        </w:tc>
        <w:tc>
          <w:tcPr>
            <w:tcW w:w="8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管理</w:t>
            </w:r>
          </w:p>
          <w:p>
            <w:pPr>
              <w:jc w:val="center"/>
              <w:rPr>
                <w:rFonts w:cs="宋体"/>
                <w:sz w:val="18"/>
                <w:szCs w:val="18"/>
              </w:rPr>
            </w:pPr>
            <w:r>
              <w:rPr>
                <w:rFonts w:hint="eastAsia" w:cs="宋体"/>
                <w:sz w:val="18"/>
                <w:szCs w:val="18"/>
              </w:rPr>
              <w:t>岗位</w:t>
            </w:r>
            <w:r>
              <w:rPr>
                <w:rFonts w:cs="宋体"/>
                <w:sz w:val="18"/>
                <w:szCs w:val="18"/>
              </w:rPr>
              <w:t>/</w:t>
            </w:r>
            <w:r>
              <w:rPr>
                <w:rFonts w:cs="宋体"/>
                <w:sz w:val="18"/>
                <w:szCs w:val="18"/>
              </w:rPr>
              <w:br w:type="textWrapping"/>
            </w:r>
            <w:r>
              <w:rPr>
                <w:rFonts w:hint="eastAsia" w:cs="宋体"/>
                <w:sz w:val="18"/>
                <w:szCs w:val="18"/>
              </w:rPr>
              <w:t>专业技术职称</w:t>
            </w:r>
            <w:r>
              <w:rPr>
                <w:rFonts w:cs="宋体"/>
                <w:sz w:val="18"/>
                <w:szCs w:val="18"/>
              </w:rPr>
              <w:t>/</w:t>
            </w:r>
            <w:r>
              <w:rPr>
                <w:rFonts w:cs="宋体"/>
                <w:sz w:val="18"/>
                <w:szCs w:val="18"/>
              </w:rPr>
              <w:br w:type="textWrapping"/>
            </w:r>
            <w:r>
              <w:rPr>
                <w:rFonts w:hint="eastAsia" w:cs="宋体"/>
                <w:sz w:val="18"/>
                <w:szCs w:val="18"/>
              </w:rPr>
              <w:t>职业技能等级</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用工</w:t>
            </w:r>
            <w:r>
              <w:rPr>
                <w:rFonts w:cs="宋体"/>
                <w:sz w:val="18"/>
                <w:szCs w:val="18"/>
              </w:rPr>
              <w:br w:type="textWrapping"/>
            </w:r>
            <w:r>
              <w:rPr>
                <w:rFonts w:hint="eastAsia" w:cs="宋体"/>
                <w:sz w:val="18"/>
                <w:szCs w:val="18"/>
              </w:rPr>
              <w:t>形式</w:t>
            </w:r>
          </w:p>
        </w:tc>
        <w:tc>
          <w:tcPr>
            <w:tcW w:w="4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劳动</w:t>
            </w:r>
            <w:r>
              <w:rPr>
                <w:rFonts w:cs="宋体"/>
                <w:sz w:val="18"/>
                <w:szCs w:val="18"/>
              </w:rPr>
              <w:br w:type="textWrapping"/>
            </w:r>
            <w:r>
              <w:rPr>
                <w:rFonts w:hint="eastAsia" w:cs="宋体"/>
                <w:sz w:val="18"/>
                <w:szCs w:val="18"/>
              </w:rPr>
              <w:t>合同</w:t>
            </w:r>
            <w:r>
              <w:rPr>
                <w:rFonts w:cs="宋体"/>
                <w:sz w:val="18"/>
                <w:szCs w:val="18"/>
              </w:rPr>
              <w:br w:type="textWrapping"/>
            </w:r>
            <w:r>
              <w:rPr>
                <w:rFonts w:hint="eastAsia" w:cs="宋体"/>
                <w:sz w:val="18"/>
                <w:szCs w:val="18"/>
              </w:rPr>
              <w:t>类型</w:t>
            </w:r>
          </w:p>
        </w:tc>
        <w:tc>
          <w:tcPr>
            <w:tcW w:w="5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全年</w:t>
            </w:r>
            <w:r>
              <w:rPr>
                <w:rFonts w:cs="宋体"/>
                <w:sz w:val="18"/>
                <w:szCs w:val="18"/>
              </w:rPr>
              <w:br w:type="textWrapping"/>
            </w:r>
            <w:r>
              <w:rPr>
                <w:rFonts w:hint="eastAsia" w:cs="宋体"/>
                <w:sz w:val="18"/>
                <w:szCs w:val="18"/>
              </w:rPr>
              <w:t>周</w:t>
            </w:r>
          </w:p>
          <w:p>
            <w:pPr>
              <w:jc w:val="center"/>
              <w:rPr>
                <w:rFonts w:cs="宋体"/>
                <w:sz w:val="18"/>
                <w:szCs w:val="18"/>
              </w:rPr>
            </w:pPr>
            <w:r>
              <w:rPr>
                <w:rFonts w:hint="eastAsia" w:cs="宋体"/>
                <w:sz w:val="18"/>
                <w:szCs w:val="18"/>
              </w:rPr>
              <w:t>平均</w:t>
            </w:r>
            <w:r>
              <w:rPr>
                <w:rFonts w:cs="宋体"/>
                <w:sz w:val="18"/>
                <w:szCs w:val="18"/>
              </w:rPr>
              <w:br w:type="textWrapping"/>
            </w:r>
            <w:r>
              <w:rPr>
                <w:rFonts w:hint="eastAsia" w:cs="宋体"/>
                <w:sz w:val="18"/>
                <w:szCs w:val="18"/>
              </w:rPr>
              <w:t>工作</w:t>
            </w:r>
            <w:r>
              <w:rPr>
                <w:rFonts w:cs="宋体"/>
                <w:sz w:val="18"/>
                <w:szCs w:val="18"/>
              </w:rPr>
              <w:br w:type="textWrapping"/>
            </w:r>
            <w:r>
              <w:rPr>
                <w:rFonts w:hint="eastAsia" w:cs="宋体"/>
                <w:sz w:val="18"/>
                <w:szCs w:val="18"/>
              </w:rPr>
              <w:t>小时数</w:t>
            </w:r>
          </w:p>
        </w:tc>
        <w:tc>
          <w:tcPr>
            <w:tcW w:w="4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是否</w:t>
            </w:r>
            <w:r>
              <w:rPr>
                <w:rFonts w:cs="宋体"/>
                <w:sz w:val="18"/>
                <w:szCs w:val="18"/>
              </w:rPr>
              <w:br w:type="textWrapping"/>
            </w:r>
            <w:r>
              <w:rPr>
                <w:rFonts w:hint="eastAsia" w:cs="宋体"/>
                <w:sz w:val="18"/>
                <w:szCs w:val="18"/>
              </w:rPr>
              <w:t>工会</w:t>
            </w:r>
            <w:r>
              <w:rPr>
                <w:rFonts w:cs="宋体"/>
                <w:sz w:val="18"/>
                <w:szCs w:val="18"/>
              </w:rPr>
              <w:br w:type="textWrapping"/>
            </w:r>
            <w:r>
              <w:rPr>
                <w:rFonts w:hint="eastAsia" w:cs="宋体"/>
                <w:sz w:val="18"/>
                <w:szCs w:val="18"/>
              </w:rPr>
              <w:t>会员</w:t>
            </w:r>
          </w:p>
        </w:tc>
        <w:tc>
          <w:tcPr>
            <w:tcW w:w="466" w:type="dxa"/>
            <w:vMerge w:val="restart"/>
            <w:tcBorders>
              <w:top w:val="single" w:color="auto" w:sz="4" w:space="0"/>
              <w:left w:val="single" w:color="auto" w:sz="4" w:space="0"/>
              <w:bottom w:val="single" w:color="000000" w:sz="4" w:space="0"/>
              <w:right w:val="nil"/>
            </w:tcBorders>
            <w:vAlign w:val="center"/>
          </w:tcPr>
          <w:p>
            <w:pPr>
              <w:jc w:val="center"/>
              <w:rPr>
                <w:rFonts w:cs="宋体"/>
                <w:sz w:val="18"/>
                <w:szCs w:val="18"/>
              </w:rPr>
            </w:pPr>
            <w:r>
              <w:rPr>
                <w:rFonts w:hint="eastAsia" w:cs="宋体"/>
                <w:sz w:val="18"/>
                <w:szCs w:val="18"/>
              </w:rPr>
              <w:t>全年</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报酬</w:t>
            </w:r>
            <w:r>
              <w:rPr>
                <w:rFonts w:cs="宋体"/>
                <w:sz w:val="18"/>
                <w:szCs w:val="18"/>
              </w:rPr>
              <w:br w:type="textWrapping"/>
            </w:r>
            <w:r>
              <w:rPr>
                <w:rFonts w:hint="eastAsia" w:cs="宋体"/>
                <w:sz w:val="18"/>
                <w:szCs w:val="18"/>
              </w:rPr>
              <w:t>合计</w:t>
            </w:r>
          </w:p>
        </w:tc>
        <w:tc>
          <w:tcPr>
            <w:tcW w:w="716"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c>
          <w:tcPr>
            <w:tcW w:w="634"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c>
          <w:tcPr>
            <w:tcW w:w="655"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c>
          <w:tcPr>
            <w:tcW w:w="763"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r>
      <w:tr>
        <w:tblPrEx>
          <w:tblCellMar>
            <w:top w:w="0" w:type="dxa"/>
            <w:left w:w="0" w:type="dxa"/>
            <w:bottom w:w="0" w:type="dxa"/>
            <w:right w:w="0" w:type="dxa"/>
          </w:tblCellMar>
        </w:tblPrEx>
        <w:trPr>
          <w:cantSplit/>
          <w:trHeight w:val="131" w:hRule="atLeast"/>
        </w:trPr>
        <w:tc>
          <w:tcPr>
            <w:tcW w:w="465" w:type="dxa"/>
            <w:vMerge w:val="continue"/>
            <w:tcBorders>
              <w:top w:val="nil"/>
              <w:left w:val="nil"/>
              <w:bottom w:val="single" w:color="auto" w:sz="4" w:space="0"/>
              <w:right w:val="single" w:color="auto" w:sz="4" w:space="0"/>
            </w:tcBorders>
            <w:vAlign w:val="center"/>
          </w:tcPr>
          <w:p>
            <w:pPr>
              <w:rPr>
                <w:rFonts w:cs="宋体"/>
                <w:sz w:val="18"/>
                <w:szCs w:val="18"/>
              </w:rPr>
            </w:pPr>
          </w:p>
        </w:tc>
        <w:tc>
          <w:tcPr>
            <w:tcW w:w="465" w:type="dxa"/>
            <w:vMerge w:val="continue"/>
            <w:tcBorders>
              <w:top w:val="nil"/>
              <w:left w:val="nil"/>
              <w:bottom w:val="single" w:color="auto" w:sz="4" w:space="0"/>
              <w:right w:val="single" w:color="auto" w:sz="4" w:space="0"/>
            </w:tcBorders>
            <w:vAlign w:val="center"/>
          </w:tcPr>
          <w:p>
            <w:pPr>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859"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542"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66" w:type="dxa"/>
            <w:vMerge w:val="continue"/>
            <w:tcBorders>
              <w:top w:val="nil"/>
              <w:left w:val="single" w:color="auto" w:sz="4" w:space="0"/>
              <w:bottom w:val="single" w:color="000000" w:sz="4" w:space="0"/>
              <w:right w:val="nil"/>
            </w:tcBorders>
            <w:vAlign w:val="center"/>
          </w:tcPr>
          <w:p>
            <w:pPr>
              <w:rPr>
                <w:rFonts w:cs="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基本</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p>
        </w:tc>
        <w:tc>
          <w:tcPr>
            <w:tcW w:w="634" w:type="dxa"/>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绩效</w:t>
            </w:r>
            <w:r>
              <w:rPr>
                <w:rFonts w:cs="宋体"/>
                <w:sz w:val="18"/>
                <w:szCs w:val="18"/>
              </w:rPr>
              <w:br w:type="textWrapping"/>
            </w:r>
            <w:r>
              <w:rPr>
                <w:rFonts w:hint="eastAsia" w:cs="宋体"/>
                <w:sz w:val="18"/>
                <w:szCs w:val="18"/>
              </w:rPr>
              <w:t>工资</w:t>
            </w:r>
            <w:r>
              <w:rPr>
                <w:rFonts w:cs="宋体"/>
                <w:sz w:val="18"/>
                <w:szCs w:val="18"/>
              </w:rPr>
              <w:br w:type="textWrapping"/>
            </w:r>
            <w:r>
              <w:rPr>
                <w:rFonts w:hint="eastAsia" w:cs="宋体"/>
                <w:sz w:val="18"/>
                <w:szCs w:val="18"/>
              </w:rPr>
              <w:t>（类</w:t>
            </w:r>
            <w:r>
              <w:rPr>
                <w:rFonts w:cs="宋体"/>
                <w:sz w:val="18"/>
                <w:szCs w:val="18"/>
              </w:rPr>
              <w:t>)</w:t>
            </w:r>
          </w:p>
        </w:tc>
        <w:tc>
          <w:tcPr>
            <w:tcW w:w="655" w:type="dxa"/>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津补贴</w:t>
            </w:r>
          </w:p>
          <w:p>
            <w:pPr>
              <w:jc w:val="center"/>
              <w:rPr>
                <w:rFonts w:cs="宋体"/>
                <w:sz w:val="18"/>
                <w:szCs w:val="18"/>
              </w:rPr>
            </w:pPr>
            <w:r>
              <w:rPr>
                <w:rFonts w:hint="eastAsia" w:cs="宋体"/>
                <w:sz w:val="18"/>
                <w:szCs w:val="18"/>
              </w:rPr>
              <w:t>（类）</w:t>
            </w:r>
          </w:p>
        </w:tc>
        <w:tc>
          <w:tcPr>
            <w:tcW w:w="763" w:type="dxa"/>
            <w:tcBorders>
              <w:top w:val="single" w:color="auto" w:sz="4" w:space="0"/>
              <w:left w:val="nil"/>
              <w:bottom w:val="single" w:color="auto" w:sz="4" w:space="0"/>
              <w:right w:val="nil"/>
            </w:tcBorders>
            <w:vAlign w:val="center"/>
          </w:tcPr>
          <w:p>
            <w:pPr>
              <w:jc w:val="center"/>
              <w:rPr>
                <w:rFonts w:cs="宋体"/>
                <w:sz w:val="18"/>
                <w:szCs w:val="18"/>
              </w:rPr>
            </w:pPr>
            <w:r>
              <w:rPr>
                <w:rFonts w:hint="eastAsia" w:cs="宋体"/>
                <w:sz w:val="18"/>
                <w:szCs w:val="18"/>
              </w:rPr>
              <w:t>加班</w:t>
            </w:r>
            <w:r>
              <w:rPr>
                <w:rFonts w:cs="宋体"/>
                <w:sz w:val="18"/>
                <w:szCs w:val="18"/>
              </w:rPr>
              <w:br w:type="textWrapping"/>
            </w:r>
            <w:r>
              <w:rPr>
                <w:rFonts w:hint="eastAsia" w:cs="宋体"/>
                <w:sz w:val="18"/>
                <w:szCs w:val="18"/>
              </w:rPr>
              <w:t>加点</w:t>
            </w:r>
            <w:r>
              <w:rPr>
                <w:rFonts w:cs="宋体"/>
                <w:sz w:val="18"/>
                <w:szCs w:val="18"/>
              </w:rPr>
              <w:br w:type="textWrapping"/>
            </w:r>
            <w:r>
              <w:rPr>
                <w:rFonts w:hint="eastAsia" w:cs="宋体"/>
                <w:sz w:val="18"/>
                <w:szCs w:val="18"/>
              </w:rPr>
              <w:t>工资</w:t>
            </w: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甲</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2</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3</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4</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5</w:t>
            </w:r>
          </w:p>
        </w:tc>
        <w:tc>
          <w:tcPr>
            <w:tcW w:w="859"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6</w:t>
            </w:r>
          </w:p>
        </w:tc>
        <w:tc>
          <w:tcPr>
            <w:tcW w:w="420"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7</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8</w:t>
            </w:r>
          </w:p>
        </w:tc>
        <w:tc>
          <w:tcPr>
            <w:tcW w:w="542"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9</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10</w:t>
            </w:r>
          </w:p>
        </w:tc>
        <w:tc>
          <w:tcPr>
            <w:tcW w:w="46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11</w:t>
            </w:r>
          </w:p>
        </w:tc>
        <w:tc>
          <w:tcPr>
            <w:tcW w:w="716"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12</w:t>
            </w:r>
          </w:p>
        </w:tc>
        <w:tc>
          <w:tcPr>
            <w:tcW w:w="634"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13</w:t>
            </w:r>
          </w:p>
        </w:tc>
        <w:tc>
          <w:tcPr>
            <w:tcW w:w="65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14</w:t>
            </w:r>
          </w:p>
        </w:tc>
        <w:tc>
          <w:tcPr>
            <w:tcW w:w="763" w:type="dxa"/>
            <w:tcBorders>
              <w:top w:val="nil"/>
              <w:left w:val="nil"/>
              <w:bottom w:val="single" w:color="auto" w:sz="4" w:space="0"/>
              <w:right w:val="nil"/>
            </w:tcBorders>
            <w:vAlign w:val="center"/>
          </w:tcPr>
          <w:p>
            <w:pPr>
              <w:jc w:val="center"/>
              <w:rPr>
                <w:rFonts w:cs="宋体"/>
                <w:sz w:val="18"/>
                <w:szCs w:val="18"/>
              </w:rPr>
            </w:pPr>
            <w:r>
              <w:rPr>
                <w:rFonts w:cs="宋体"/>
                <w:sz w:val="18"/>
                <w:szCs w:val="18"/>
              </w:rPr>
              <w:t>15</w:t>
            </w:r>
          </w:p>
        </w:tc>
      </w:tr>
      <w:tr>
        <w:tblPrEx>
          <w:tblCellMar>
            <w:top w:w="0" w:type="dxa"/>
            <w:left w:w="0" w:type="dxa"/>
            <w:bottom w:w="0" w:type="dxa"/>
            <w:right w:w="0" w:type="dxa"/>
          </w:tblCellMar>
        </w:tblPrEx>
        <w:trPr>
          <w:trHeight w:val="472" w:hRule="atLeast"/>
        </w:trPr>
        <w:tc>
          <w:tcPr>
            <w:tcW w:w="465" w:type="dxa"/>
            <w:tcBorders>
              <w:top w:val="nil"/>
              <w:left w:val="nil"/>
              <w:right w:val="single" w:color="auto" w:sz="4" w:space="0"/>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859" w:type="dxa"/>
            <w:tcBorders>
              <w:top w:val="nil"/>
              <w:left w:val="nil"/>
              <w:right w:val="nil"/>
            </w:tcBorders>
            <w:vAlign w:val="center"/>
          </w:tcPr>
          <w:p>
            <w:pPr>
              <w:rPr>
                <w:rFonts w:cs="宋体"/>
                <w:sz w:val="16"/>
                <w:szCs w:val="16"/>
              </w:rPr>
            </w:pPr>
            <w:r>
              <w:rPr>
                <w:rFonts w:hint="eastAsia" w:cs="宋体"/>
                <w:sz w:val="16"/>
                <w:szCs w:val="16"/>
              </w:rPr>
              <w:t>　</w:t>
            </w:r>
          </w:p>
        </w:tc>
        <w:tc>
          <w:tcPr>
            <w:tcW w:w="420"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542"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466" w:type="dxa"/>
            <w:tcBorders>
              <w:top w:val="nil"/>
              <w:left w:val="nil"/>
              <w:right w:val="nil"/>
            </w:tcBorders>
            <w:vAlign w:val="center"/>
          </w:tcPr>
          <w:p>
            <w:pPr>
              <w:rPr>
                <w:rFonts w:cs="宋体"/>
                <w:sz w:val="16"/>
                <w:szCs w:val="16"/>
              </w:rPr>
            </w:pPr>
            <w:r>
              <w:rPr>
                <w:rFonts w:hint="eastAsia" w:cs="宋体"/>
                <w:sz w:val="16"/>
                <w:szCs w:val="16"/>
              </w:rPr>
              <w:t>　</w:t>
            </w:r>
          </w:p>
        </w:tc>
        <w:tc>
          <w:tcPr>
            <w:tcW w:w="716" w:type="dxa"/>
            <w:tcBorders>
              <w:top w:val="nil"/>
              <w:left w:val="nil"/>
              <w:right w:val="nil"/>
            </w:tcBorders>
            <w:vAlign w:val="center"/>
          </w:tcPr>
          <w:p>
            <w:pPr>
              <w:rPr>
                <w:rFonts w:cs="宋体"/>
                <w:sz w:val="16"/>
                <w:szCs w:val="16"/>
              </w:rPr>
            </w:pPr>
            <w:r>
              <w:rPr>
                <w:rFonts w:hint="eastAsia" w:cs="宋体"/>
                <w:sz w:val="16"/>
                <w:szCs w:val="16"/>
              </w:rPr>
              <w:t>　</w:t>
            </w:r>
          </w:p>
        </w:tc>
        <w:tc>
          <w:tcPr>
            <w:tcW w:w="634" w:type="dxa"/>
            <w:tcBorders>
              <w:top w:val="nil"/>
              <w:left w:val="nil"/>
              <w:right w:val="nil"/>
            </w:tcBorders>
            <w:vAlign w:val="center"/>
          </w:tcPr>
          <w:p>
            <w:pPr>
              <w:rPr>
                <w:rFonts w:cs="宋体"/>
                <w:sz w:val="16"/>
                <w:szCs w:val="16"/>
              </w:rPr>
            </w:pPr>
            <w:r>
              <w:rPr>
                <w:rFonts w:hint="eastAsia" w:cs="宋体"/>
                <w:sz w:val="16"/>
                <w:szCs w:val="16"/>
              </w:rPr>
              <w:t>　</w:t>
            </w:r>
          </w:p>
        </w:tc>
        <w:tc>
          <w:tcPr>
            <w:tcW w:w="655" w:type="dxa"/>
            <w:tcBorders>
              <w:top w:val="nil"/>
              <w:left w:val="nil"/>
              <w:right w:val="nil"/>
            </w:tcBorders>
            <w:vAlign w:val="center"/>
          </w:tcPr>
          <w:p>
            <w:pPr>
              <w:rPr>
                <w:rFonts w:cs="宋体"/>
                <w:sz w:val="16"/>
                <w:szCs w:val="16"/>
              </w:rPr>
            </w:pPr>
            <w:r>
              <w:rPr>
                <w:rFonts w:hint="eastAsia" w:cs="宋体"/>
                <w:sz w:val="16"/>
                <w:szCs w:val="16"/>
              </w:rPr>
              <w:t>　</w:t>
            </w:r>
          </w:p>
        </w:tc>
        <w:tc>
          <w:tcPr>
            <w:tcW w:w="763" w:type="dxa"/>
            <w:tcBorders>
              <w:top w:val="nil"/>
              <w:left w:val="nil"/>
              <w:right w:val="nil"/>
            </w:tcBorders>
            <w:vAlign w:val="center"/>
          </w:tcPr>
          <w:p>
            <w:pPr>
              <w:rPr>
                <w:rFonts w:cs="宋体"/>
                <w:sz w:val="16"/>
                <w:szCs w:val="16"/>
              </w:rPr>
            </w:pPr>
            <w:r>
              <w:rPr>
                <w:rFonts w:hint="eastAsia" w:cs="宋体"/>
                <w:sz w:val="16"/>
                <w:szCs w:val="16"/>
              </w:rPr>
              <w:t>　</w:t>
            </w:r>
          </w:p>
        </w:tc>
      </w:tr>
      <w:tr>
        <w:tblPrEx>
          <w:tblCellMar>
            <w:top w:w="0" w:type="dxa"/>
            <w:left w:w="0" w:type="dxa"/>
            <w:bottom w:w="0" w:type="dxa"/>
            <w:right w:w="0" w:type="dxa"/>
          </w:tblCellMar>
        </w:tblPrEx>
        <w:trPr>
          <w:trHeight w:val="245" w:hRule="atLeast"/>
        </w:trPr>
        <w:tc>
          <w:tcPr>
            <w:tcW w:w="465" w:type="dxa"/>
            <w:tcBorders>
              <w:top w:val="nil"/>
              <w:left w:val="nil"/>
              <w:bottom w:val="single" w:color="auto" w:sz="8" w:space="0"/>
              <w:right w:val="single" w:color="auto" w:sz="4" w:space="0"/>
            </w:tcBorders>
            <w:vAlign w:val="center"/>
          </w:tcPr>
          <w:p>
            <w:pPr>
              <w:rPr>
                <w:rFonts w:cs="宋体"/>
                <w:sz w:val="16"/>
                <w:szCs w:val="16"/>
              </w:rPr>
            </w:pPr>
            <w:r>
              <w:rPr>
                <w:rFonts w:hint="eastAsia" w:cs="宋体"/>
                <w:sz w:val="16"/>
                <w:szCs w:val="16"/>
              </w:rPr>
              <w:t>　</w:t>
            </w:r>
          </w:p>
        </w:tc>
        <w:tc>
          <w:tcPr>
            <w:tcW w:w="465" w:type="dxa"/>
            <w:tcBorders>
              <w:top w:val="nil"/>
              <w:left w:val="nil"/>
              <w:bottom w:val="single" w:color="auto" w:sz="8" w:space="0"/>
              <w:right w:val="nil"/>
            </w:tcBorders>
            <w:vAlign w:val="center"/>
          </w:tcPr>
          <w:p>
            <w:pPr>
              <w:rPr>
                <w:rFonts w:cs="宋体"/>
                <w:sz w:val="16"/>
                <w:szCs w:val="16"/>
              </w:rPr>
            </w:pPr>
          </w:p>
        </w:tc>
        <w:tc>
          <w:tcPr>
            <w:tcW w:w="465" w:type="dxa"/>
            <w:tcBorders>
              <w:top w:val="nil"/>
              <w:left w:val="nil"/>
              <w:bottom w:val="single" w:color="auto" w:sz="8" w:space="0"/>
              <w:right w:val="nil"/>
            </w:tcBorders>
            <w:vAlign w:val="center"/>
          </w:tcPr>
          <w:p>
            <w:pPr>
              <w:rPr>
                <w:rFonts w:cs="宋体"/>
                <w:sz w:val="16"/>
                <w:szCs w:val="16"/>
              </w:rPr>
            </w:pPr>
          </w:p>
        </w:tc>
        <w:tc>
          <w:tcPr>
            <w:tcW w:w="465"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859" w:type="dxa"/>
            <w:tcBorders>
              <w:top w:val="nil"/>
              <w:left w:val="nil"/>
              <w:bottom w:val="single" w:color="auto" w:sz="8" w:space="0"/>
              <w:right w:val="nil"/>
            </w:tcBorders>
            <w:vAlign w:val="center"/>
          </w:tcPr>
          <w:p>
            <w:pPr>
              <w:rPr>
                <w:rFonts w:cs="宋体"/>
                <w:sz w:val="16"/>
                <w:szCs w:val="16"/>
              </w:rPr>
            </w:pPr>
          </w:p>
        </w:tc>
        <w:tc>
          <w:tcPr>
            <w:tcW w:w="420"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542"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466" w:type="dxa"/>
            <w:tcBorders>
              <w:top w:val="nil"/>
              <w:left w:val="nil"/>
              <w:bottom w:val="single" w:color="auto" w:sz="8" w:space="0"/>
              <w:right w:val="nil"/>
            </w:tcBorders>
            <w:vAlign w:val="center"/>
          </w:tcPr>
          <w:p>
            <w:pPr>
              <w:rPr>
                <w:rFonts w:cs="宋体"/>
                <w:sz w:val="16"/>
                <w:szCs w:val="16"/>
              </w:rPr>
            </w:pPr>
          </w:p>
        </w:tc>
        <w:tc>
          <w:tcPr>
            <w:tcW w:w="716" w:type="dxa"/>
            <w:tcBorders>
              <w:top w:val="nil"/>
              <w:left w:val="nil"/>
              <w:bottom w:val="single" w:color="auto" w:sz="8" w:space="0"/>
              <w:right w:val="nil"/>
            </w:tcBorders>
            <w:vAlign w:val="center"/>
          </w:tcPr>
          <w:p>
            <w:pPr>
              <w:rPr>
                <w:rFonts w:cs="宋体"/>
                <w:sz w:val="16"/>
                <w:szCs w:val="16"/>
              </w:rPr>
            </w:pPr>
          </w:p>
        </w:tc>
        <w:tc>
          <w:tcPr>
            <w:tcW w:w="634" w:type="dxa"/>
            <w:tcBorders>
              <w:top w:val="nil"/>
              <w:left w:val="nil"/>
              <w:bottom w:val="single" w:color="auto" w:sz="8" w:space="0"/>
              <w:right w:val="nil"/>
            </w:tcBorders>
            <w:vAlign w:val="center"/>
          </w:tcPr>
          <w:p>
            <w:pPr>
              <w:rPr>
                <w:rFonts w:cs="宋体"/>
                <w:sz w:val="16"/>
                <w:szCs w:val="16"/>
              </w:rPr>
            </w:pPr>
          </w:p>
        </w:tc>
        <w:tc>
          <w:tcPr>
            <w:tcW w:w="655" w:type="dxa"/>
            <w:tcBorders>
              <w:top w:val="nil"/>
              <w:left w:val="nil"/>
              <w:bottom w:val="single" w:color="auto" w:sz="8" w:space="0"/>
              <w:right w:val="nil"/>
            </w:tcBorders>
            <w:vAlign w:val="center"/>
          </w:tcPr>
          <w:p>
            <w:pPr>
              <w:rPr>
                <w:rFonts w:cs="宋体"/>
                <w:sz w:val="16"/>
                <w:szCs w:val="16"/>
              </w:rPr>
            </w:pPr>
          </w:p>
        </w:tc>
        <w:tc>
          <w:tcPr>
            <w:tcW w:w="763" w:type="dxa"/>
            <w:tcBorders>
              <w:top w:val="nil"/>
              <w:left w:val="nil"/>
              <w:bottom w:val="single" w:color="auto" w:sz="8" w:space="0"/>
              <w:right w:val="nil"/>
            </w:tcBorders>
            <w:vAlign w:val="center"/>
          </w:tcPr>
          <w:p>
            <w:pPr>
              <w:rPr>
                <w:rFonts w:cs="宋体"/>
                <w:sz w:val="16"/>
                <w:szCs w:val="16"/>
              </w:rPr>
            </w:pPr>
          </w:p>
        </w:tc>
      </w:tr>
    </w:tbl>
    <w:p>
      <w:pPr>
        <w:tabs>
          <w:tab w:val="left" w:pos="5115"/>
        </w:tabs>
        <w:spacing w:line="240" w:lineRule="exact"/>
        <w:jc w:val="center"/>
        <w:rPr>
          <w:rFonts w:cs="宋体"/>
          <w:sz w:val="22"/>
          <w:szCs w:val="22"/>
        </w:rPr>
      </w:pPr>
      <w:r>
        <w:rPr>
          <w:rFonts w:cs="宋体"/>
          <w:sz w:val="22"/>
          <w:szCs w:val="22"/>
        </w:rPr>
        <w:t xml:space="preserve">                                                                    20   </w:t>
      </w:r>
      <w:r>
        <w:rPr>
          <w:rFonts w:hint="eastAsia" w:cs="宋体"/>
          <w:sz w:val="22"/>
          <w:szCs w:val="22"/>
        </w:rPr>
        <w:t>年</w:t>
      </w:r>
    </w:p>
    <w:p>
      <w:pPr>
        <w:tabs>
          <w:tab w:val="left" w:pos="5115"/>
        </w:tabs>
        <w:spacing w:line="240" w:lineRule="exact"/>
        <w:rPr>
          <w:rFonts w:cs="宋体"/>
          <w:sz w:val="22"/>
          <w:szCs w:val="22"/>
        </w:rPr>
      </w:pPr>
    </w:p>
    <w:p>
      <w:pPr>
        <w:tabs>
          <w:tab w:val="left" w:pos="5115"/>
        </w:tabs>
        <w:spacing w:line="240" w:lineRule="exact"/>
        <w:rPr>
          <w:sz w:val="18"/>
          <w:szCs w:val="18"/>
        </w:rPr>
      </w:pPr>
    </w:p>
    <w:p>
      <w:pPr>
        <w:tabs>
          <w:tab w:val="left" w:pos="5115"/>
        </w:tabs>
        <w:spacing w:line="240" w:lineRule="exact"/>
        <w:rPr>
          <w:sz w:val="18"/>
          <w:szCs w:val="18"/>
        </w:rPr>
      </w:pPr>
    </w:p>
    <w:p>
      <w:pPr>
        <w:tabs>
          <w:tab w:val="left" w:pos="5115"/>
        </w:tabs>
        <w:spacing w:line="240" w:lineRule="exact"/>
        <w:rPr>
          <w:sz w:val="18"/>
          <w:szCs w:val="18"/>
          <w:u w:val="single"/>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tabs>
          <w:tab w:val="left" w:pos="5115"/>
        </w:tabs>
        <w:spacing w:line="240" w:lineRule="exact"/>
        <w:rPr>
          <w:sz w:val="18"/>
          <w:szCs w:val="18"/>
        </w:rPr>
      </w:pPr>
    </w:p>
    <w:p>
      <w:pPr>
        <w:tabs>
          <w:tab w:val="left" w:pos="5115"/>
        </w:tabs>
        <w:spacing w:line="240" w:lineRule="exact"/>
        <w:ind w:right="-340" w:rightChars="-162"/>
        <w:rPr>
          <w:sz w:val="18"/>
          <w:szCs w:val="18"/>
        </w:rPr>
      </w:pPr>
      <w:r>
        <w:rPr>
          <w:rFonts w:hint="eastAsia"/>
          <w:sz w:val="18"/>
          <w:szCs w:val="18"/>
        </w:rPr>
        <w:t>说明：</w:t>
      </w:r>
      <w:r>
        <w:rPr>
          <w:sz w:val="18"/>
          <w:szCs w:val="18"/>
        </w:rPr>
        <w:t>1.尚未“五证合一”使用统一社会信用代码的企业，可填组织机构代码；</w:t>
      </w:r>
    </w:p>
    <w:p>
      <w:pPr>
        <w:tabs>
          <w:tab w:val="left" w:pos="5115"/>
        </w:tabs>
        <w:spacing w:line="240" w:lineRule="exact"/>
        <w:ind w:right="-340" w:rightChars="-162" w:firstLine="540" w:firstLineChars="300"/>
        <w:rPr>
          <w:sz w:val="18"/>
          <w:szCs w:val="18"/>
        </w:rPr>
      </w:pPr>
      <w:r>
        <w:rPr>
          <w:sz w:val="18"/>
          <w:szCs w:val="18"/>
        </w:rPr>
        <w:t>2.表格中第甲、1、3、5、6、7、8、10栏以下选项填写数字。</w:t>
      </w:r>
      <w:r>
        <w:rPr>
          <w:rFonts w:hint="eastAsia"/>
          <w:b/>
          <w:sz w:val="18"/>
          <w:szCs w:val="18"/>
        </w:rPr>
        <w:t>第甲栏：</w:t>
      </w:r>
      <w:r>
        <w:rPr>
          <w:rFonts w:hint="eastAsia"/>
          <w:sz w:val="18"/>
          <w:szCs w:val="18"/>
        </w:rPr>
        <w:t>企业参与本调查的所有劳动者自然排序，由企业自行顺序编码，共五位（</w:t>
      </w:r>
      <w:r>
        <w:rPr>
          <w:sz w:val="18"/>
          <w:szCs w:val="18"/>
        </w:rPr>
        <w:t>1～99999之间）不能重复；</w:t>
      </w:r>
      <w:r>
        <w:rPr>
          <w:rFonts w:hint="eastAsia"/>
          <w:b/>
          <w:sz w:val="18"/>
          <w:szCs w:val="18"/>
        </w:rPr>
        <w:t>第</w:t>
      </w:r>
      <w:r>
        <w:rPr>
          <w:b/>
          <w:sz w:val="18"/>
          <w:szCs w:val="18"/>
        </w:rPr>
        <w:t>1栏</w:t>
      </w:r>
      <w:r>
        <w:rPr>
          <w:rFonts w:hint="eastAsia"/>
          <w:sz w:val="18"/>
          <w:szCs w:val="18"/>
        </w:rPr>
        <w:t>：</w:t>
      </w:r>
      <w:r>
        <w:rPr>
          <w:sz w:val="18"/>
          <w:szCs w:val="18"/>
        </w:rPr>
        <w:t>1男2女；</w:t>
      </w:r>
      <w:r>
        <w:rPr>
          <w:rFonts w:hint="eastAsia"/>
          <w:b/>
          <w:sz w:val="18"/>
          <w:szCs w:val="18"/>
        </w:rPr>
        <w:t>第</w:t>
      </w:r>
      <w:r>
        <w:rPr>
          <w:b/>
          <w:sz w:val="18"/>
          <w:szCs w:val="18"/>
        </w:rPr>
        <w:t>3栏：</w:t>
      </w:r>
      <w:r>
        <w:rPr>
          <w:sz w:val="18"/>
          <w:szCs w:val="18"/>
        </w:rPr>
        <w:t>1研究生（含博士、硕士）2大学本科 3大学专科 4高中、中专或技校 5初中及以下；</w:t>
      </w:r>
      <w:r>
        <w:rPr>
          <w:rFonts w:hint="eastAsia"/>
          <w:b/>
          <w:sz w:val="18"/>
          <w:szCs w:val="18"/>
        </w:rPr>
        <w:t>第</w:t>
      </w:r>
      <w:r>
        <w:rPr>
          <w:b/>
          <w:sz w:val="18"/>
          <w:szCs w:val="18"/>
        </w:rPr>
        <w:t>5栏：</w:t>
      </w:r>
      <w:r>
        <w:rPr>
          <w:rFonts w:hint="eastAsia"/>
          <w:sz w:val="18"/>
          <w:szCs w:val="18"/>
        </w:rPr>
        <w:t>按照《中华人民共和国职业分类大典》填写，共七位；</w:t>
      </w:r>
      <w:r>
        <w:rPr>
          <w:rFonts w:hint="eastAsia"/>
          <w:b/>
          <w:sz w:val="18"/>
          <w:szCs w:val="18"/>
        </w:rPr>
        <w:t>第</w:t>
      </w:r>
      <w:r>
        <w:rPr>
          <w:b/>
          <w:sz w:val="18"/>
          <w:szCs w:val="18"/>
        </w:rPr>
        <w:t>6栏：</w:t>
      </w:r>
      <w:r>
        <w:rPr>
          <w:sz w:val="18"/>
          <w:szCs w:val="18"/>
        </w:rPr>
        <w:t>11高层管理岗（高级管理岗） 12中层管理岗（一级部门管理岗） 13基层管理岗（二级部门管理岗） 14管理类员工岗（其它管理岗） 21高级职称 22中级职称 23初级职称 24没有取得专业技术职称 31高级技师 32技师 33高级技能 34中级技能 35初级技能 36没有取得资格证书</w:t>
      </w:r>
      <w:r>
        <w:rPr>
          <w:rFonts w:hint="eastAsia"/>
          <w:sz w:val="18"/>
          <w:szCs w:val="18"/>
        </w:rPr>
        <w:t>；</w:t>
      </w:r>
      <w:r>
        <w:rPr>
          <w:rFonts w:hint="eastAsia"/>
          <w:b/>
          <w:sz w:val="18"/>
          <w:szCs w:val="18"/>
        </w:rPr>
        <w:t>第</w:t>
      </w:r>
      <w:r>
        <w:rPr>
          <w:b/>
          <w:sz w:val="18"/>
          <w:szCs w:val="18"/>
        </w:rPr>
        <w:t>7栏：</w:t>
      </w:r>
      <w:r>
        <w:rPr>
          <w:sz w:val="18"/>
          <w:szCs w:val="18"/>
        </w:rPr>
        <w:t>1合同制用工 2劳务派遣用工 （选劳务派遣工的不填第8栏）；</w:t>
      </w:r>
      <w:r>
        <w:rPr>
          <w:rFonts w:hint="eastAsia"/>
          <w:b/>
          <w:sz w:val="18"/>
          <w:szCs w:val="18"/>
        </w:rPr>
        <w:t>第</w:t>
      </w:r>
      <w:r>
        <w:rPr>
          <w:b/>
          <w:sz w:val="18"/>
          <w:szCs w:val="18"/>
        </w:rPr>
        <w:t>8栏：</w:t>
      </w:r>
      <w:r>
        <w:rPr>
          <w:sz w:val="18"/>
          <w:szCs w:val="18"/>
        </w:rPr>
        <w:t>1固定期限 2无固定期限 3以完成一定工作任务为期限；</w:t>
      </w:r>
      <w:r>
        <w:rPr>
          <w:rFonts w:hint="eastAsia"/>
          <w:b/>
          <w:sz w:val="18"/>
          <w:szCs w:val="18"/>
        </w:rPr>
        <w:t>第</w:t>
      </w:r>
      <w:r>
        <w:rPr>
          <w:b/>
          <w:sz w:val="18"/>
          <w:szCs w:val="18"/>
        </w:rPr>
        <w:t>10栏：</w:t>
      </w:r>
      <w:r>
        <w:rPr>
          <w:sz w:val="18"/>
          <w:szCs w:val="18"/>
        </w:rPr>
        <w:t>1是 2否。</w:t>
      </w:r>
    </w:p>
    <w:p>
      <w:pPr>
        <w:tabs>
          <w:tab w:val="left" w:pos="5115"/>
        </w:tabs>
        <w:spacing w:line="240" w:lineRule="exact"/>
        <w:ind w:firstLine="450" w:firstLineChars="250"/>
        <w:rPr>
          <w:sz w:val="18"/>
          <w:szCs w:val="18"/>
        </w:rPr>
      </w:pPr>
      <w:r>
        <w:rPr>
          <w:sz w:val="18"/>
          <w:szCs w:val="18"/>
        </w:rPr>
        <w:t>3.审核关系：（11）≥（12）+（13）+（14）+（15）</w:t>
      </w:r>
    </w:p>
    <w:p>
      <w:pPr>
        <w:rPr>
          <w:sz w:val="18"/>
          <w:szCs w:val="18"/>
        </w:rPr>
      </w:pPr>
      <w:r>
        <w:rPr>
          <w:sz w:val="18"/>
          <w:szCs w:val="18"/>
        </w:rPr>
        <w:br w:type="page"/>
      </w:r>
    </w:p>
    <w:p>
      <w:pPr>
        <w:pStyle w:val="21"/>
        <w:adjustRightInd w:val="0"/>
        <w:snapToGrid w:val="0"/>
        <w:spacing w:after="0" w:line="600" w:lineRule="exact"/>
        <w:rPr>
          <w:rFonts w:ascii="宋体" w:hAnsi="宋体" w:eastAsia="宋体"/>
          <w:color w:val="C00000"/>
          <w:sz w:val="30"/>
          <w:szCs w:val="30"/>
        </w:rPr>
      </w:pPr>
      <w:r>
        <w:rPr>
          <w:rFonts w:hint="eastAsia" w:ascii="仿宋" w:hAnsi="仿宋" w:eastAsia="仿宋" w:cs="仿宋"/>
          <w:color w:val="C00000"/>
          <w:sz w:val="30"/>
          <w:szCs w:val="30"/>
        </w:rPr>
        <w:t>本表应由被调查企业的人力资源部门填报</w:t>
      </w:r>
      <w:r>
        <w:rPr>
          <w:rFonts w:ascii="宋体" w:hAnsi="宋体" w:eastAsia="宋体"/>
          <w:color w:val="C00000"/>
          <w:sz w:val="30"/>
          <w:szCs w:val="30"/>
        </w:rPr>
        <w:t>。</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（一）调查表填写</w:t>
      </w:r>
      <w:r>
        <w:rPr>
          <w:rFonts w:hint="eastAsia" w:ascii="楷体" w:hAnsi="楷体" w:eastAsia="楷体"/>
          <w:b w:val="0"/>
          <w:sz w:val="30"/>
          <w:szCs w:val="30"/>
        </w:rPr>
        <w:t>对象</w:t>
      </w:r>
    </w:p>
    <w:p>
      <w:pPr>
        <w:pStyle w:val="22"/>
        <w:adjustRightInd w:val="0"/>
        <w:snapToGrid w:val="0"/>
        <w:spacing w:after="0" w:line="600" w:lineRule="exact"/>
        <w:ind w:firstLine="711" w:firstLineChars="236"/>
        <w:rPr>
          <w:rFonts w:ascii="仿宋" w:hAnsi="仿宋" w:eastAsia="仿宋" w:cs="仿宋"/>
          <w:color w:val="000000" w:themeColor="text1"/>
          <w:sz w:val="30"/>
          <w:szCs w:val="30"/>
          <w:shd w:val="pct10" w:color="auto" w:fill="FFFFFF"/>
          <w14:textFill>
            <w14:solidFill>
              <w14:schemeClr w14:val="tx1"/>
            </w14:solidFill>
          </w14:textFill>
        </w:rPr>
      </w:pPr>
      <w:r>
        <w:rPr>
          <w:rFonts w:hint="eastAsia" w:ascii="仿宋" w:hAnsi="仿宋" w:eastAsia="仿宋" w:cs="仿宋"/>
          <w:b/>
          <w:bCs/>
          <w:color w:val="C00000"/>
          <w:sz w:val="30"/>
          <w:szCs w:val="30"/>
          <w:shd w:val="pct10" w:color="auto" w:fill="FFFFFF"/>
        </w:rPr>
        <w:t>要求填写由本单位支付工资的所有全日制（即正常情况下每周工作时间均应当≥24小时的）在岗职工和劳务派遣人员工资报酬情况。</w:t>
      </w:r>
    </w:p>
    <w:p>
      <w:pPr>
        <w:pStyle w:val="22"/>
        <w:adjustRightInd w:val="0"/>
        <w:snapToGrid w:val="0"/>
        <w:spacing w:after="0" w:line="600" w:lineRule="exact"/>
        <w:ind w:firstLine="708" w:firstLineChars="236"/>
        <w:rPr>
          <w:rFonts w:ascii="仿宋" w:hAnsi="仿宋" w:eastAsia="仿宋" w:cs="仿宋"/>
          <w:sz w:val="30"/>
          <w:szCs w:val="30"/>
          <w:em w:val="dot"/>
        </w:rPr>
      </w:pPr>
      <w:r>
        <w:rPr>
          <w:rFonts w:hint="eastAsia" w:ascii="仿宋" w:hAnsi="仿宋" w:eastAsia="仿宋" w:cs="仿宋"/>
          <w:sz w:val="30"/>
          <w:szCs w:val="30"/>
          <w:em w:val="dot"/>
        </w:rPr>
        <w:t>以下从业人员不作为本表填写对象：</w:t>
      </w:r>
    </w:p>
    <w:p>
      <w:pPr>
        <w:pStyle w:val="22"/>
        <w:numPr>
          <w:ilvl w:val="0"/>
          <w:numId w:val="5"/>
        </w:numPr>
        <w:tabs>
          <w:tab w:val="left" w:pos="220"/>
          <w:tab w:val="left" w:pos="420"/>
          <w:tab w:val="left" w:pos="567"/>
          <w:tab w:val="left" w:pos="993"/>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w:t>
      </w:r>
      <w:r>
        <w:rPr>
          <w:rFonts w:ascii="仿宋" w:hAnsi="仿宋" w:eastAsia="仿宋" w:cs="仿宋"/>
          <w:sz w:val="30"/>
          <w:szCs w:val="30"/>
        </w:rPr>
        <w:t>1</w:t>
      </w:r>
      <w:r>
        <w:rPr>
          <w:rFonts w:hint="eastAsia" w:ascii="仿宋" w:hAnsi="仿宋" w:eastAsia="仿宋" w:cs="仿宋"/>
          <w:sz w:val="30"/>
          <w:szCs w:val="30"/>
        </w:rPr>
        <w:t>年度</w:t>
      </w:r>
      <w:r>
        <w:rPr>
          <w:rFonts w:hint="eastAsia" w:ascii="仿宋" w:hAnsi="仿宋" w:eastAsia="仿宋" w:cs="仿宋"/>
          <w:b/>
          <w:bCs/>
          <w:color w:val="C00000"/>
          <w:sz w:val="30"/>
          <w:szCs w:val="30"/>
        </w:rPr>
        <w:t>新进入本单位</w:t>
      </w:r>
      <w:r>
        <w:rPr>
          <w:rFonts w:hint="eastAsia" w:ascii="仿宋" w:hAnsi="仿宋" w:eastAsia="仿宋" w:cs="仿宋"/>
          <w:sz w:val="30"/>
          <w:szCs w:val="30"/>
        </w:rPr>
        <w:t>（包括当年新招聘的毕业生及其他人员、新调入本单位人员）、当年工作不满十二个月的职工；</w:t>
      </w:r>
    </w:p>
    <w:p>
      <w:pPr>
        <w:pStyle w:val="22"/>
        <w:numPr>
          <w:ilvl w:val="0"/>
          <w:numId w:val="5"/>
        </w:numPr>
        <w:tabs>
          <w:tab w:val="left" w:pos="22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w:t>
      </w:r>
      <w:r>
        <w:rPr>
          <w:rFonts w:ascii="仿宋" w:hAnsi="仿宋" w:eastAsia="仿宋" w:cs="仿宋"/>
          <w:sz w:val="30"/>
          <w:szCs w:val="30"/>
        </w:rPr>
        <w:t>1</w:t>
      </w:r>
      <w:r>
        <w:rPr>
          <w:rFonts w:hint="eastAsia" w:ascii="仿宋" w:hAnsi="仿宋" w:eastAsia="仿宋" w:cs="仿宋"/>
          <w:sz w:val="30"/>
          <w:szCs w:val="30"/>
        </w:rPr>
        <w:t>年度因劳动者待岗、下岗、旷工或产假、哺乳假、长病假或事假等个人原因</w:t>
      </w:r>
      <w:r>
        <w:rPr>
          <w:rFonts w:hint="eastAsia" w:ascii="仿宋" w:hAnsi="仿宋" w:eastAsia="仿宋" w:cs="仿宋"/>
          <w:b/>
          <w:bCs/>
          <w:color w:val="C00000"/>
          <w:sz w:val="30"/>
          <w:szCs w:val="30"/>
        </w:rPr>
        <w:t>（而非企业原因）</w:t>
      </w:r>
      <w:r>
        <w:rPr>
          <w:rFonts w:hint="eastAsia" w:ascii="仿宋" w:hAnsi="仿宋" w:eastAsia="仿宋" w:cs="仿宋"/>
          <w:sz w:val="30"/>
          <w:szCs w:val="30"/>
        </w:rPr>
        <w:t>，全年出勤率达不到企业规定工作时间80%的人员；</w:t>
      </w:r>
    </w:p>
    <w:p>
      <w:pPr>
        <w:pStyle w:val="22"/>
        <w:numPr>
          <w:ilvl w:val="0"/>
          <w:numId w:val="5"/>
        </w:numPr>
        <w:tabs>
          <w:tab w:val="left" w:pos="22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202</w:t>
      </w:r>
      <w:r>
        <w:rPr>
          <w:rFonts w:ascii="仿宋" w:hAnsi="仿宋" w:eastAsia="仿宋" w:cs="仿宋"/>
          <w:sz w:val="30"/>
          <w:szCs w:val="30"/>
        </w:rPr>
        <w:t>1</w:t>
      </w:r>
      <w:r>
        <w:rPr>
          <w:rFonts w:hint="eastAsia" w:ascii="仿宋" w:hAnsi="仿宋" w:eastAsia="仿宋" w:cs="仿宋"/>
          <w:sz w:val="30"/>
          <w:szCs w:val="30"/>
        </w:rPr>
        <w:t>年度因工作岗位调整而导致工资发生较大变动的职工；</w:t>
      </w:r>
    </w:p>
    <w:p>
      <w:pPr>
        <w:pStyle w:val="22"/>
        <w:numPr>
          <w:ilvl w:val="0"/>
          <w:numId w:val="5"/>
        </w:numPr>
        <w:tabs>
          <w:tab w:val="left" w:pos="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“其他从业人员”，包括非全日制人员、企业聘用的正式离退休人员、兼职人员和第二职业者等，以及在本企业工作的外籍和港澳台方人员等其他从业人员。</w:t>
      </w:r>
    </w:p>
    <w:p>
      <w:pPr>
        <w:pStyle w:val="22"/>
        <w:numPr>
          <w:ilvl w:val="0"/>
          <w:numId w:val="5"/>
        </w:numPr>
        <w:tabs>
          <w:tab w:val="left" w:pos="0"/>
          <w:tab w:val="left" w:pos="420"/>
          <w:tab w:val="left" w:pos="567"/>
          <w:tab w:val="left" w:pos="993"/>
          <w:tab w:val="left" w:pos="1134"/>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企业使用的共享用工人员原则上不作为本企业的填写对象，应由原单位填报。</w:t>
      </w:r>
    </w:p>
    <w:p>
      <w:pPr>
        <w:pStyle w:val="22"/>
        <w:tabs>
          <w:tab w:val="left" w:pos="0"/>
          <w:tab w:val="left" w:pos="420"/>
          <w:tab w:val="left" w:pos="567"/>
          <w:tab w:val="left" w:pos="993"/>
        </w:tabs>
        <w:adjustRightInd w:val="0"/>
        <w:snapToGrid w:val="0"/>
        <w:spacing w:after="0" w:line="600" w:lineRule="exact"/>
        <w:ind w:firstLine="708" w:firstLineChars="236"/>
        <w:rPr>
          <w:rFonts w:ascii="仿宋" w:hAnsi="仿宋" w:eastAsia="仿宋" w:cs="仿宋"/>
          <w:sz w:val="30"/>
          <w:szCs w:val="30"/>
        </w:rPr>
      </w:pPr>
      <w:r>
        <w:rPr>
          <w:rFonts w:hint="eastAsia" w:ascii="仿宋" w:hAnsi="仿宋" w:eastAsia="仿宋" w:cs="仿宋"/>
          <w:sz w:val="30"/>
          <w:szCs w:val="30"/>
        </w:rPr>
        <w:t>调查企业为集团公司或总部的，在本表中需填写由</w:t>
      </w:r>
      <w:bookmarkStart w:id="150" w:name="_Hlk92293439"/>
      <w:r>
        <w:rPr>
          <w:rFonts w:hint="eastAsia" w:ascii="仿宋" w:hAnsi="仿宋" w:eastAsia="仿宋" w:cs="仿宋"/>
          <w:sz w:val="30"/>
          <w:szCs w:val="30"/>
        </w:rPr>
        <w:t>本级考核、核算并支付报酬</w:t>
      </w:r>
      <w:bookmarkEnd w:id="150"/>
      <w:r>
        <w:rPr>
          <w:rFonts w:hint="eastAsia" w:ascii="仿宋" w:hAnsi="仿宋" w:eastAsia="仿宋" w:cs="仿宋"/>
          <w:sz w:val="30"/>
          <w:szCs w:val="30"/>
        </w:rPr>
        <w:t>的企业从业人员的情况。</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（二）职工代码</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职工代码按照企业参与本调查的所有劳动者自然排序，由软件自动生成流水号。</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填报要求：必填。</w:t>
      </w:r>
    </w:p>
    <w:p>
      <w:pPr>
        <w:pStyle w:val="21"/>
        <w:adjustRightInd w:val="0"/>
        <w:snapToGrid w:val="0"/>
        <w:spacing w:after="0" w:line="600" w:lineRule="exact"/>
        <w:rPr>
          <w:rFonts w:ascii="仿宋" w:hAnsi="仿宋" w:eastAsia="仿宋" w:cs="仿宋"/>
          <w:bCs/>
          <w:sz w:val="30"/>
          <w:szCs w:val="30"/>
        </w:rPr>
      </w:pPr>
      <w:r>
        <w:rPr>
          <w:rFonts w:ascii="楷体" w:hAnsi="楷体" w:eastAsia="楷体"/>
          <w:b w:val="0"/>
          <w:sz w:val="30"/>
          <w:szCs w:val="30"/>
        </w:rPr>
        <w:t>（三）性别、出生年份</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性别根据企业从业人员情况填报。</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出生年份最小值“195</w:t>
      </w:r>
      <w:r>
        <w:rPr>
          <w:rFonts w:ascii="仿宋" w:hAnsi="仿宋" w:eastAsia="仿宋" w:cs="仿宋"/>
          <w:sz w:val="30"/>
          <w:szCs w:val="30"/>
        </w:rPr>
        <w:t>6</w:t>
      </w:r>
      <w:r>
        <w:rPr>
          <w:rFonts w:hint="eastAsia" w:ascii="仿宋" w:hAnsi="仿宋" w:eastAsia="仿宋" w:cs="仿宋"/>
          <w:sz w:val="30"/>
          <w:szCs w:val="30"/>
        </w:rPr>
        <w:t>”，最大值“200</w:t>
      </w:r>
      <w:r>
        <w:rPr>
          <w:rFonts w:ascii="仿宋" w:hAnsi="仿宋" w:eastAsia="仿宋" w:cs="仿宋"/>
          <w:sz w:val="30"/>
          <w:szCs w:val="30"/>
        </w:rPr>
        <w:t>9</w:t>
      </w:r>
      <w:r>
        <w:rPr>
          <w:rFonts w:hint="eastAsia" w:ascii="仿宋" w:hAnsi="仿宋" w:eastAsia="仿宋" w:cs="仿宋"/>
          <w:sz w:val="30"/>
          <w:szCs w:val="30"/>
        </w:rPr>
        <w:t>”（即12-65岁）。</w:t>
      </w:r>
    </w:p>
    <w:p>
      <w:pPr>
        <w:pStyle w:val="22"/>
        <w:adjustRightInd w:val="0"/>
        <w:snapToGrid w:val="0"/>
        <w:spacing w:after="0" w:line="600" w:lineRule="exact"/>
        <w:ind w:firstLine="602" w:firstLineChars="200"/>
        <w:rPr>
          <w:rFonts w:ascii="宋体" w:hAnsi="宋体" w:eastAsia="宋体"/>
          <w:b/>
          <w:bCs/>
          <w:color w:val="C00000"/>
          <w:sz w:val="30"/>
          <w:szCs w:val="30"/>
        </w:rPr>
      </w:pPr>
      <w:r>
        <w:rPr>
          <w:rFonts w:hint="eastAsia" w:ascii="仿宋" w:hAnsi="仿宋" w:eastAsia="仿宋" w:cs="仿宋"/>
          <w:b/>
          <w:bCs/>
          <w:color w:val="C00000"/>
          <w:sz w:val="30"/>
          <w:szCs w:val="30"/>
        </w:rPr>
        <w:t>填报要求：必填。</w:t>
      </w:r>
    </w:p>
    <w:p>
      <w:pPr>
        <w:pStyle w:val="21"/>
        <w:adjustRightInd w:val="0"/>
        <w:snapToGrid w:val="0"/>
        <w:spacing w:after="0" w:line="600" w:lineRule="exact"/>
        <w:rPr>
          <w:rFonts w:ascii="楷体" w:hAnsi="楷体" w:eastAsia="楷体"/>
          <w:sz w:val="30"/>
          <w:szCs w:val="30"/>
        </w:rPr>
      </w:pPr>
      <w:r>
        <w:rPr>
          <w:rFonts w:ascii="楷体" w:hAnsi="楷体" w:eastAsia="楷体"/>
          <w:b w:val="0"/>
          <w:sz w:val="30"/>
          <w:szCs w:val="30"/>
        </w:rPr>
        <w:t>（四）学历</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企业从业人员接受国内外教育所取得的最高学历或与现有的受教育水平相当的学历，以取得国家承认的毕业证书为准。</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（1）研究生及以上学历：指接受的最高一级教育为硕士研究生、博士研究生并取得毕业证书，不包括肄业、在读或辍学。</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（2）大学本科学历：指接受的最高一级教育为大学本科并取得毕业证书，不包括肄业、在读或辍学。</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（3）大专学历：指接受的最高一级教育为大学专科并取得毕业证书，不包括肄业、在读或辍学。</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（4）高中、中专或技校学历：指接受的最高一级教育为普通高中、职业高中、技工学校、成人高中，并取得毕业证书。包括等同于高中学历的中等专业学校、成人中专。不包括肄业、在读或辍学。</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（5）初中及以下学历：指接受的最高一级教育为初中、小学或未接受国民教育。</w:t>
      </w:r>
    </w:p>
    <w:p>
      <w:pPr>
        <w:pStyle w:val="22"/>
        <w:adjustRightInd w:val="0"/>
        <w:snapToGrid w:val="0"/>
        <w:spacing w:after="0" w:line="600" w:lineRule="exact"/>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（五）参加工作时间</w:t>
      </w:r>
    </w:p>
    <w:p>
      <w:pPr>
        <w:pStyle w:val="22"/>
        <w:adjustRightInd w:val="0"/>
        <w:snapToGrid w:val="0"/>
        <w:spacing w:after="0" w:line="600" w:lineRule="exact"/>
        <w:ind w:firstLine="600" w:firstLineChars="200"/>
        <w:rPr>
          <w:rFonts w:ascii="仿宋" w:hAnsi="仿宋" w:eastAsia="仿宋" w:cs="仿宋"/>
          <w:sz w:val="30"/>
          <w:szCs w:val="30"/>
        </w:rPr>
      </w:pPr>
      <w:r>
        <w:rPr>
          <w:rFonts w:hint="eastAsia" w:ascii="仿宋" w:hAnsi="仿宋" w:eastAsia="仿宋" w:cs="仿宋"/>
          <w:sz w:val="30"/>
          <w:szCs w:val="30"/>
        </w:rPr>
        <w:t>指企业从业人员初次完成学历教育，正式签订劳动合同或就业（不是在本企业工作的时间）的年份。</w:t>
      </w:r>
    </w:p>
    <w:p>
      <w:pPr>
        <w:pStyle w:val="22"/>
        <w:adjustRightInd w:val="0"/>
        <w:snapToGrid w:val="0"/>
        <w:spacing w:after="0" w:line="600" w:lineRule="exact"/>
        <w:ind w:firstLine="602" w:firstLineChars="200"/>
        <w:rPr>
          <w:rFonts w:ascii="仿宋" w:hAnsi="仿宋" w:eastAsia="仿宋" w:cs="仿宋"/>
          <w:b/>
          <w:bCs/>
          <w:sz w:val="30"/>
          <w:szCs w:val="30"/>
        </w:rPr>
      </w:pPr>
      <w:r>
        <w:rPr>
          <w:rFonts w:hint="eastAsia" w:ascii="仿宋" w:hAnsi="仿宋" w:eastAsia="仿宋" w:cs="仿宋"/>
          <w:b/>
          <w:bCs/>
          <w:color w:val="C00000"/>
          <w:sz w:val="30"/>
          <w:szCs w:val="30"/>
        </w:rPr>
        <w:t>填报要求：必填，四位数字，最小值“196</w:t>
      </w:r>
      <w:r>
        <w:rPr>
          <w:rFonts w:ascii="仿宋" w:hAnsi="仿宋" w:eastAsia="仿宋" w:cs="仿宋"/>
          <w:b/>
          <w:bCs/>
          <w:color w:val="C00000"/>
          <w:sz w:val="30"/>
          <w:szCs w:val="30"/>
        </w:rPr>
        <w:t>8</w:t>
      </w:r>
      <w:r>
        <w:rPr>
          <w:rFonts w:hint="eastAsia" w:ascii="仿宋" w:hAnsi="仿宋" w:eastAsia="仿宋" w:cs="仿宋"/>
          <w:b/>
          <w:bCs/>
          <w:color w:val="C00000"/>
          <w:sz w:val="30"/>
          <w:szCs w:val="30"/>
        </w:rPr>
        <w:t>”，最大值“20</w:t>
      </w:r>
      <w:r>
        <w:rPr>
          <w:rFonts w:ascii="仿宋" w:hAnsi="仿宋" w:eastAsia="仿宋" w:cs="仿宋"/>
          <w:b/>
          <w:bCs/>
          <w:color w:val="C00000"/>
          <w:sz w:val="30"/>
          <w:szCs w:val="30"/>
        </w:rPr>
        <w:t>20</w:t>
      </w:r>
      <w:r>
        <w:rPr>
          <w:rFonts w:hint="eastAsia" w:ascii="仿宋" w:hAnsi="仿宋" w:eastAsia="仿宋" w:cs="仿宋"/>
          <w:b/>
          <w:bCs/>
          <w:color w:val="C00000"/>
          <w:sz w:val="30"/>
          <w:szCs w:val="30"/>
        </w:rPr>
        <w:t>”。</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（六）职业</w:t>
      </w:r>
    </w:p>
    <w:p>
      <w:pPr>
        <w:pStyle w:val="22"/>
        <w:adjustRightInd w:val="0"/>
        <w:snapToGrid w:val="0"/>
        <w:spacing w:after="0" w:line="600" w:lineRule="exact"/>
        <w:ind w:firstLine="600" w:firstLineChars="200"/>
        <w:rPr>
          <w:rFonts w:ascii="仿宋" w:hAnsi="仿宋" w:eastAsia="仿宋" w:cs="仿宋"/>
          <w:b/>
          <w:bCs/>
          <w:color w:val="C00000"/>
          <w:sz w:val="30"/>
          <w:szCs w:val="30"/>
        </w:rPr>
      </w:pPr>
      <w:r>
        <w:rPr>
          <w:rFonts w:hint="eastAsia" w:ascii="仿宋" w:hAnsi="仿宋" w:eastAsia="仿宋" w:cs="仿宋"/>
          <w:sz w:val="30"/>
          <w:szCs w:val="30"/>
        </w:rPr>
        <w:t>职业指企业从业人员获取主要生活来源所从事的社会性工作的类别。按照《中华人民共和国职业分类大典》（2015修订）填写，共七位。详见附件或网址：</w:t>
      </w:r>
      <w:r>
        <w:rPr>
          <w:rFonts w:hint="eastAsia" w:ascii="仿宋" w:hAnsi="仿宋" w:eastAsia="仿宋" w:cs="仿宋"/>
          <w:b/>
          <w:bCs/>
          <w:color w:val="C00000"/>
          <w:sz w:val="30"/>
          <w:szCs w:val="30"/>
        </w:rPr>
        <w:t>http://</w:t>
      </w:r>
      <w:r>
        <w:fldChar w:fldCharType="begin"/>
      </w:r>
      <w:r>
        <w:instrText xml:space="preserve"> HYPERLINK "http://www.mohrss.gov.cn/survey/qyxcdc.htmgh" </w:instrText>
      </w:r>
      <w:r>
        <w:fldChar w:fldCharType="separate"/>
      </w:r>
      <w:r>
        <w:rPr>
          <w:rFonts w:hint="eastAsia" w:ascii="仿宋" w:hAnsi="仿宋" w:eastAsia="仿宋" w:cs="仿宋"/>
          <w:b/>
          <w:bCs/>
          <w:color w:val="C00000"/>
          <w:sz w:val="30"/>
          <w:szCs w:val="30"/>
        </w:rPr>
        <w:t>www.mohrss.gov.cn/tjdc/qyxcdc</w:t>
      </w:r>
      <w:r>
        <w:rPr>
          <w:rFonts w:hint="eastAsia" w:ascii="仿宋" w:hAnsi="仿宋" w:eastAsia="仿宋" w:cs="仿宋"/>
          <w:b/>
          <w:bCs/>
          <w:color w:val="C00000"/>
          <w:sz w:val="30"/>
          <w:szCs w:val="30"/>
        </w:rPr>
        <w:fldChar w:fldCharType="end"/>
      </w:r>
    </w:p>
    <w:p>
      <w:pPr>
        <w:pStyle w:val="28"/>
        <w:adjustRightInd w:val="0"/>
        <w:snapToGrid w:val="0"/>
        <w:spacing w:after="0" w:line="600" w:lineRule="exact"/>
        <w:ind w:firstLine="602"/>
        <w:rPr>
          <w:rFonts w:ascii="仿宋" w:hAnsi="仿宋" w:eastAsia="仿宋" w:cs="仿宋"/>
          <w:b/>
          <w:color w:val="C00000"/>
          <w:sz w:val="30"/>
          <w:szCs w:val="30"/>
        </w:rPr>
      </w:pPr>
      <w:r>
        <w:rPr>
          <w:rFonts w:hint="eastAsia" w:ascii="仿宋" w:hAnsi="仿宋" w:eastAsia="仿宋" w:cs="仿宋"/>
          <w:b/>
          <w:bCs/>
          <w:color w:val="C00000"/>
          <w:sz w:val="30"/>
          <w:szCs w:val="30"/>
        </w:rPr>
        <w:t>填报要求：必填。要求填报到</w:t>
      </w:r>
      <w:r>
        <w:rPr>
          <w:rFonts w:hint="eastAsia" w:ascii="仿宋" w:hAnsi="仿宋" w:eastAsia="仿宋" w:cs="仿宋"/>
          <w:b/>
          <w:bCs/>
          <w:color w:val="C00000"/>
          <w:sz w:val="30"/>
          <w:szCs w:val="30"/>
          <w:u w:val="single"/>
        </w:rPr>
        <w:t>小类</w:t>
      </w:r>
      <w:r>
        <w:rPr>
          <w:rFonts w:hint="eastAsia" w:ascii="仿宋" w:hAnsi="仿宋" w:eastAsia="仿宋" w:cs="仿宋"/>
          <w:b/>
          <w:bCs/>
          <w:color w:val="C00000"/>
          <w:sz w:val="30"/>
          <w:szCs w:val="30"/>
        </w:rPr>
        <w:t>，不要填写中类或大类。</w:t>
      </w:r>
      <w:r>
        <w:rPr>
          <w:rFonts w:hint="eastAsia" w:ascii="仿宋" w:hAnsi="仿宋" w:eastAsia="仿宋" w:cs="仿宋"/>
          <w:b/>
          <w:color w:val="C00000"/>
          <w:sz w:val="30"/>
          <w:szCs w:val="30"/>
        </w:rPr>
        <w:t>需要发布职业细类信息的地区，培训时要向样本企业强调职业类别选至最底层。</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职业是具有一定特征的社会工作类别，它是一种或一组特定工作的统称。我们以往经常使用“工种”“岗位”等概念，实质上就是将职业按不同需要或要求进行的具体划分。一般的，一个职业包括一个或几个工种，一个工种又包括一个或几个岗位。因此，职业与工种、岗位之间是一个包含和被包含的关系。本调查首先按照职业对各类工作进行分类，对有可能继续划分的，再划分至工种或岗位。对于企业中的岗位无法与《国家职业分类大典》一一对应的，可以暂时采用行业标准、行业惯例或较为宽泛的办法界定，将来随国家职业分类制度的完善逐步规范。</w:t>
      </w:r>
    </w:p>
    <w:p>
      <w:pPr>
        <w:pStyle w:val="33"/>
        <w:numPr>
          <w:ilvl w:val="0"/>
          <w:numId w:val="6"/>
        </w:numPr>
        <w:tabs>
          <w:tab w:val="left" w:pos="567"/>
        </w:tabs>
        <w:snapToGrid w:val="0"/>
        <w:spacing w:line="600" w:lineRule="exact"/>
        <w:ind w:left="0" w:firstLine="567" w:firstLineChars="0"/>
        <w:rPr>
          <w:rFonts w:ascii="宋体" w:hAnsi="宋体" w:eastAsia="宋体"/>
          <w:sz w:val="30"/>
          <w:szCs w:val="30"/>
        </w:rPr>
      </w:pPr>
      <w:bookmarkStart w:id="151" w:name="OLE_LINK2"/>
      <w:bookmarkStart w:id="152" w:name="OLE_LINK1"/>
      <w:r>
        <w:rPr>
          <w:rFonts w:hint="eastAsia" w:ascii="仿宋" w:hAnsi="仿宋" w:eastAsia="仿宋" w:cs="仿宋"/>
          <w:sz w:val="30"/>
          <w:szCs w:val="30"/>
        </w:rPr>
        <w:t>同时从事一种以上职业的人员，以</w:t>
      </w:r>
      <w:r>
        <w:rPr>
          <w:rFonts w:hint="eastAsia" w:ascii="仿宋" w:hAnsi="仿宋" w:eastAsia="仿宋" w:cs="仿宋"/>
          <w:b/>
          <w:bCs/>
          <w:color w:val="C00000"/>
          <w:sz w:val="30"/>
          <w:szCs w:val="30"/>
        </w:rPr>
        <w:t>劳动时间较长</w:t>
      </w:r>
      <w:r>
        <w:rPr>
          <w:rFonts w:hint="eastAsia" w:ascii="仿宋" w:hAnsi="仿宋" w:eastAsia="仿宋" w:cs="仿宋"/>
          <w:sz w:val="30"/>
          <w:szCs w:val="30"/>
        </w:rPr>
        <w:t>的为其职业；如不能确定时间长短者，以</w:t>
      </w:r>
      <w:r>
        <w:rPr>
          <w:rFonts w:hint="eastAsia" w:ascii="仿宋" w:hAnsi="仿宋" w:eastAsia="仿宋" w:cs="仿宋"/>
          <w:b/>
          <w:bCs/>
          <w:color w:val="C00000"/>
          <w:sz w:val="30"/>
          <w:szCs w:val="30"/>
        </w:rPr>
        <w:t>经济收入较多</w:t>
      </w:r>
      <w:r>
        <w:rPr>
          <w:rFonts w:hint="eastAsia" w:ascii="仿宋" w:hAnsi="仿宋" w:eastAsia="仿宋" w:cs="仿宋"/>
          <w:sz w:val="30"/>
          <w:szCs w:val="30"/>
        </w:rPr>
        <w:t>的为其职业。在同一工作场所，从事一种以上职业的人员，以</w:t>
      </w:r>
      <w:r>
        <w:rPr>
          <w:rFonts w:hint="eastAsia" w:ascii="仿宋" w:hAnsi="仿宋" w:eastAsia="仿宋" w:cs="仿宋"/>
          <w:b/>
          <w:bCs/>
          <w:color w:val="C00000"/>
          <w:sz w:val="30"/>
          <w:szCs w:val="30"/>
        </w:rPr>
        <w:t>其技术性较高</w:t>
      </w:r>
      <w:r>
        <w:rPr>
          <w:rFonts w:hint="eastAsia" w:ascii="仿宋" w:hAnsi="仿宋" w:eastAsia="仿宋" w:cs="仿宋"/>
          <w:sz w:val="30"/>
          <w:szCs w:val="30"/>
        </w:rPr>
        <w:t>的工作为职业。</w:t>
      </w:r>
    </w:p>
    <w:bookmarkEnd w:id="151"/>
    <w:bookmarkEnd w:id="152"/>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（七）管理</w:t>
      </w:r>
      <w:r>
        <w:rPr>
          <w:rFonts w:hint="eastAsia" w:ascii="楷体" w:hAnsi="楷体" w:eastAsia="楷体"/>
          <w:b w:val="0"/>
          <w:sz w:val="30"/>
          <w:szCs w:val="30"/>
        </w:rPr>
        <w:t>类</w:t>
      </w:r>
      <w:r>
        <w:rPr>
          <w:rFonts w:ascii="楷体" w:hAnsi="楷体" w:eastAsia="楷体"/>
          <w:b w:val="0"/>
          <w:sz w:val="30"/>
          <w:szCs w:val="30"/>
        </w:rPr>
        <w:t>岗位等级、技术</w:t>
      </w:r>
      <w:r>
        <w:rPr>
          <w:rFonts w:hint="eastAsia" w:ascii="楷体" w:hAnsi="楷体" w:eastAsia="楷体"/>
          <w:b w:val="0"/>
          <w:sz w:val="30"/>
          <w:szCs w:val="30"/>
        </w:rPr>
        <w:t>类岗位等级</w:t>
      </w:r>
      <w:r>
        <w:rPr>
          <w:rFonts w:ascii="楷体" w:hAnsi="楷体" w:eastAsia="楷体"/>
          <w:b w:val="0"/>
          <w:sz w:val="30"/>
          <w:szCs w:val="30"/>
        </w:rPr>
        <w:t>、技能</w:t>
      </w:r>
      <w:r>
        <w:rPr>
          <w:rFonts w:hint="eastAsia" w:ascii="楷体" w:hAnsi="楷体" w:eastAsia="楷体"/>
          <w:b w:val="0"/>
          <w:sz w:val="30"/>
          <w:szCs w:val="30"/>
        </w:rPr>
        <w:t>类岗位</w:t>
      </w:r>
      <w:r>
        <w:rPr>
          <w:rFonts w:ascii="楷体" w:hAnsi="楷体" w:eastAsia="楷体"/>
          <w:b w:val="0"/>
          <w:sz w:val="30"/>
          <w:szCs w:val="30"/>
        </w:rPr>
        <w:t>等级</w:t>
      </w:r>
    </w:p>
    <w:p>
      <w:pPr>
        <w:pStyle w:val="33"/>
        <w:tabs>
          <w:tab w:val="left" w:pos="2400"/>
        </w:tabs>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本指标与前一项“职业”指标存在对应关系：职业大类为第一类（企事业单位负责人）、第三大类（办事人员和有关人员）的，只能对应本指标中的管理类岗位等级11～14选项；职业大类为第二大类（专业技术人员）的，对应本指标中的技术类岗位等级21～24选项；职业大类为第四大类（社会生产服务和生活服务人员）、第五大类（</w:t>
      </w:r>
      <w:r>
        <w:rPr>
          <w:rFonts w:ascii="仿宋" w:hAnsi="仿宋" w:eastAsia="仿宋" w:cs="仿宋"/>
          <w:b/>
          <w:bCs/>
          <w:color w:val="C00000"/>
          <w:sz w:val="30"/>
          <w:szCs w:val="30"/>
        </w:rPr>
        <w:t xml:space="preserve"> </w:t>
      </w:r>
      <w:r>
        <w:rPr>
          <w:rFonts w:hint="eastAsia" w:ascii="仿宋" w:hAnsi="仿宋" w:eastAsia="仿宋" w:cs="仿宋"/>
          <w:b/>
          <w:bCs/>
          <w:color w:val="C00000"/>
          <w:sz w:val="30"/>
          <w:szCs w:val="30"/>
        </w:rPr>
        <w:t>农、林、牧、渔生产及辅助人员）、第六大类（</w:t>
      </w:r>
      <w:r>
        <w:rPr>
          <w:rFonts w:ascii="仿宋" w:hAnsi="仿宋" w:eastAsia="仿宋" w:cs="仿宋"/>
          <w:b/>
          <w:bCs/>
          <w:color w:val="C00000"/>
          <w:sz w:val="30"/>
          <w:szCs w:val="30"/>
        </w:rPr>
        <w:t xml:space="preserve"> </w:t>
      </w:r>
      <w:r>
        <w:rPr>
          <w:rFonts w:hint="eastAsia" w:ascii="仿宋" w:hAnsi="仿宋" w:eastAsia="仿宋" w:cs="仿宋"/>
          <w:b/>
          <w:bCs/>
          <w:color w:val="C00000"/>
          <w:sz w:val="30"/>
          <w:szCs w:val="30"/>
        </w:rPr>
        <w:t>生产制造及有关人员）的，对应本指标中的技能类岗位等级31～36选项。</w:t>
      </w:r>
    </w:p>
    <w:p>
      <w:pPr>
        <w:pStyle w:val="33"/>
        <w:tabs>
          <w:tab w:val="left" w:pos="2400"/>
        </w:tabs>
        <w:snapToGrid w:val="0"/>
        <w:spacing w:after="0" w:line="600" w:lineRule="exact"/>
        <w:ind w:firstLine="602"/>
        <w:rPr>
          <w:rFonts w:ascii="仿宋" w:hAnsi="仿宋" w:eastAsia="仿宋" w:cs="仿宋"/>
          <w:color w:val="C00000"/>
          <w:sz w:val="30"/>
          <w:szCs w:val="30"/>
        </w:rPr>
      </w:pPr>
      <w:r>
        <w:rPr>
          <w:rFonts w:hint="eastAsia" w:ascii="仿宋" w:hAnsi="仿宋" w:eastAsia="仿宋" w:cs="仿宋"/>
          <w:b/>
          <w:bCs/>
          <w:color w:val="C00000"/>
          <w:sz w:val="30"/>
          <w:szCs w:val="30"/>
        </w:rPr>
        <w:t>填报要求：必填。</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1.管理类岗位等级：指在企业中从事管理工作人员在本企业岗位序列中的位置。本制度自定义，分为四级，高层管理岗、中层管理岗、基层管理岗和管理类员工岗。其中：</w:t>
      </w:r>
    </w:p>
    <w:p>
      <w:pPr>
        <w:pStyle w:val="33"/>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高层管理岗</w:t>
      </w:r>
      <w:r>
        <w:rPr>
          <w:rFonts w:hint="eastAsia" w:ascii="仿宋" w:hAnsi="仿宋" w:eastAsia="仿宋" w:cs="仿宋"/>
          <w:sz w:val="30"/>
          <w:szCs w:val="30"/>
        </w:rPr>
        <w:t>是指处于企业最高领导层的岗位</w:t>
      </w:r>
      <w:r>
        <w:rPr>
          <w:rFonts w:hint="eastAsia" w:ascii="仿宋" w:hAnsi="仿宋" w:eastAsia="仿宋" w:cs="仿宋"/>
          <w:kern w:val="0"/>
          <w:sz w:val="30"/>
          <w:szCs w:val="30"/>
        </w:rPr>
        <w:t>并具有决策、管理权的岗位</w:t>
      </w:r>
      <w:r>
        <w:rPr>
          <w:rFonts w:hint="eastAsia" w:ascii="仿宋" w:hAnsi="仿宋" w:eastAsia="仿宋" w:cs="仿宋"/>
          <w:sz w:val="30"/>
          <w:szCs w:val="30"/>
        </w:rPr>
        <w:t>（包含同级别岗位及副职），相当于企业高管，包括董事长，总经理、副总经理，总工程师、党委书记、党委副书记等同级别的高层负责人；</w:t>
      </w:r>
    </w:p>
    <w:p>
      <w:pPr>
        <w:pStyle w:val="33"/>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中层管理岗</w:t>
      </w:r>
      <w:r>
        <w:rPr>
          <w:rFonts w:hint="eastAsia" w:ascii="仿宋" w:hAnsi="仿宋" w:eastAsia="仿宋" w:cs="仿宋"/>
          <w:sz w:val="30"/>
          <w:szCs w:val="30"/>
        </w:rPr>
        <w:t>是指</w:t>
      </w:r>
      <w:r>
        <w:rPr>
          <w:rFonts w:hint="eastAsia" w:ascii="仿宋" w:hAnsi="仿宋" w:eastAsia="仿宋" w:cs="仿宋"/>
          <w:kern w:val="0"/>
          <w:sz w:val="30"/>
          <w:szCs w:val="30"/>
        </w:rPr>
        <w:t>在企业一级部门或内设机构处于领导层并具有管理权的岗位</w:t>
      </w:r>
      <w:r>
        <w:rPr>
          <w:rFonts w:hint="eastAsia" w:ascii="仿宋" w:hAnsi="仿宋" w:eastAsia="仿宋" w:cs="仿宋"/>
          <w:sz w:val="30"/>
          <w:szCs w:val="30"/>
        </w:rPr>
        <w:t>，相当于企业中层负责人，包括行政部门负责人、财务部门负责人、人力资源部门负责人、研发部门负责人、销售部门负责人等部门主要负责人及副职等同级别的中层负责人；</w:t>
      </w:r>
    </w:p>
    <w:p>
      <w:pPr>
        <w:pStyle w:val="33"/>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基层管理岗</w:t>
      </w:r>
      <w:r>
        <w:rPr>
          <w:rFonts w:hint="eastAsia" w:ascii="仿宋" w:hAnsi="仿宋" w:eastAsia="仿宋" w:cs="仿宋"/>
          <w:sz w:val="30"/>
          <w:szCs w:val="30"/>
        </w:rPr>
        <w:t>指在企业二级及以下部门或机构处于领导层的岗位，包括二级及以下部门/机构主要负责人及副职等同级别的基层负责人，如行政部门下属的文秘主管、财务部门下属的成本会计主管、人力资源部门下属的薪酬主管、研发部门下属的项目经理等；</w:t>
      </w:r>
    </w:p>
    <w:p>
      <w:pPr>
        <w:pStyle w:val="33"/>
        <w:snapToGrid w:val="0"/>
        <w:spacing w:after="0" w:line="600" w:lineRule="exact"/>
        <w:ind w:firstLine="602"/>
        <w:rPr>
          <w:rFonts w:ascii="仿宋" w:hAnsi="仿宋" w:eastAsia="仿宋" w:cs="仿宋"/>
          <w:sz w:val="30"/>
          <w:szCs w:val="30"/>
        </w:rPr>
      </w:pPr>
      <w:r>
        <w:rPr>
          <w:rFonts w:hint="eastAsia" w:ascii="仿宋" w:hAnsi="仿宋" w:eastAsia="仿宋" w:cs="仿宋"/>
          <w:b/>
          <w:bCs/>
          <w:sz w:val="30"/>
          <w:szCs w:val="30"/>
        </w:rPr>
        <w:t>管理类员工岗</w:t>
      </w:r>
      <w:r>
        <w:rPr>
          <w:rFonts w:hint="eastAsia" w:ascii="仿宋" w:hAnsi="仿宋" w:eastAsia="仿宋" w:cs="仿宋"/>
          <w:sz w:val="30"/>
          <w:szCs w:val="30"/>
        </w:rPr>
        <w:t>是指处于企业管理执行层的普通员工岗位</w:t>
      </w:r>
      <w:r>
        <w:rPr>
          <w:rFonts w:hint="eastAsia" w:ascii="仿宋" w:hAnsi="仿宋" w:eastAsia="仿宋" w:cs="仿宋"/>
          <w:color w:val="000000"/>
          <w:sz w:val="30"/>
          <w:szCs w:val="30"/>
          <w:shd w:val="clear" w:color="auto" w:fill="FFFFFF"/>
        </w:rPr>
        <w:t>，</w:t>
      </w:r>
      <w:r>
        <w:rPr>
          <w:rFonts w:hint="eastAsia" w:ascii="仿宋" w:hAnsi="仿宋" w:eastAsia="仿宋" w:cs="仿宋"/>
          <w:sz w:val="30"/>
          <w:szCs w:val="30"/>
        </w:rPr>
        <w:t>不包括在以上各层级中的或不承担管理职责的岗位，一般是低于上述三个层级的管理岗位，没有下属人员。</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具有四层管理岗结构的企业按上述解释填报，具有三层管理岗结构的企业只填高层管理岗、中层管理岗和管理类员工岗，具有两层管理岗结构的企业只填高层管理岗和管理类员工岗。</w:t>
      </w:r>
    </w:p>
    <w:p>
      <w:pPr>
        <w:pStyle w:val="33"/>
        <w:tabs>
          <w:tab w:val="left" w:pos="2400"/>
        </w:tabs>
        <w:snapToGrid w:val="0"/>
        <w:spacing w:after="0" w:line="600" w:lineRule="exact"/>
        <w:ind w:firstLine="600"/>
        <w:rPr>
          <w:rFonts w:ascii="仿宋" w:hAnsi="仿宋" w:eastAsia="仿宋" w:cs="仿宋"/>
          <w:color w:val="FF0000"/>
          <w:sz w:val="30"/>
          <w:szCs w:val="30"/>
        </w:rPr>
      </w:pPr>
      <w:r>
        <w:rPr>
          <w:rFonts w:hint="eastAsia" w:ascii="仿宋" w:hAnsi="仿宋" w:eastAsia="仿宋" w:cs="仿宋"/>
          <w:sz w:val="30"/>
          <w:szCs w:val="30"/>
        </w:rPr>
        <w:t>2.技术类岗位等级：是指经国务院人力资源行政部门授权的部门、行业或中央企业、省级专业技术职称评审机构评审的各系列专业技术职称，按照国家有关规定分为初级、中级、高级3个级别。没有取得专业技术职称的，填写“24”。</w:t>
      </w:r>
    </w:p>
    <w:p>
      <w:pPr>
        <w:pStyle w:val="33"/>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1）高级职称：指具有国家规定的高级专业技术职称资格或受聘高级技术职务的人员。包括高级工程师（含一级飞行员、高级船长），农业推广研究员，高级农艺师，正副研究员，正副主任医师，正副教授、高级讲师、中学高级教师，高级经济师，高级会计师，高级统计师，正副译审，正副研究馆员，正副编审、高级记者、主任记者、高级编辑、主任编辑，一、二级律师，公证员，播音指导，主任播音员，高级工艺美术师，国家级教练、高级教练，一、二级艺术人员，高级政工师。</w:t>
      </w:r>
    </w:p>
    <w:p>
      <w:pPr>
        <w:pStyle w:val="33"/>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2）中级职称：指具有国家规定的中级专业技术职称资格或受聘中级技术职务的人员。包括工程师（含二级飞行员、船长、大副），农艺师，助理研究员，主治医师，讲师、中学一级教师、小学高级教师，经济师，会计师，统计师，翻译，馆员，编辑，记者，一级校对，三级律师，公证员，一级播音员，工艺美术师，一级教练，三级艺术人员，政工师。</w:t>
      </w:r>
    </w:p>
    <w:p>
      <w:pPr>
        <w:pStyle w:val="33"/>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初级职称：指具有国家规定的初级专业技术职称资格或受聘初级技术职务的人员。包括助理工程师，技术员（含三、四级飞行员、二、三副），助理农艺师，农业技术员，研究实习员，实验员，医（护）师（士），助教、中学二、三级教师，小学一、二、三级教师，助理经济师，经济员、助理会计师，会计员，助理统计师，统计员，助理翻译，助理馆员，管理员，助理编辑记者，二、三级校对，四级律师，公证员助理，二、三级播音员，助理工艺美术师，美术员，二、三级教练，四级艺术人员，助理政工师，政工员。</w:t>
      </w:r>
    </w:p>
    <w:p>
      <w:pPr>
        <w:pStyle w:val="33"/>
        <w:tabs>
          <w:tab w:val="left" w:pos="2400"/>
        </w:tabs>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3.技能类岗位等级：专指生产运输设备操作人员或商业服务业人员的职业技能鉴定等级。按照国家《职业技能培训和鉴定条例》，分为初级技能(五级)、中级技能(四级)、高级技能(三级)、技师(二级)和高级技师(一级)五个职业技能等级。没有取得资格证书的请填报“36”。</w:t>
      </w:r>
    </w:p>
    <w:p>
      <w:pPr>
        <w:pStyle w:val="33"/>
        <w:numPr>
          <w:ilvl w:val="0"/>
          <w:numId w:val="7"/>
        </w:numPr>
        <w:snapToGrid w:val="0"/>
        <w:spacing w:after="0" w:line="600" w:lineRule="exact"/>
        <w:ind w:left="0" w:firstLine="600" w:firstLineChars="0"/>
        <w:rPr>
          <w:rFonts w:ascii="仿宋" w:hAnsi="仿宋" w:eastAsia="仿宋" w:cs="仿宋"/>
          <w:sz w:val="30"/>
          <w:szCs w:val="30"/>
        </w:rPr>
      </w:pPr>
      <w:r>
        <w:rPr>
          <w:rFonts w:hint="eastAsia" w:ascii="仿宋" w:hAnsi="仿宋" w:eastAsia="仿宋" w:cs="仿宋"/>
          <w:sz w:val="30"/>
          <w:szCs w:val="30"/>
        </w:rPr>
        <w:t>被调查人员同时具备管理类、技术类、技能类岗位等级中两种以上属性的，只按在岗人员</w:t>
      </w:r>
      <w:r>
        <w:rPr>
          <w:rFonts w:hint="eastAsia" w:ascii="仿宋" w:hAnsi="仿宋" w:eastAsia="仿宋" w:cs="仿宋"/>
          <w:b/>
          <w:bCs/>
          <w:color w:val="C00000"/>
          <w:sz w:val="30"/>
          <w:szCs w:val="30"/>
        </w:rPr>
        <w:t>主要承担的职责</w:t>
      </w:r>
      <w:r>
        <w:rPr>
          <w:rFonts w:hint="eastAsia" w:ascii="仿宋" w:hAnsi="仿宋" w:eastAsia="仿宋" w:cs="仿宋"/>
          <w:sz w:val="30"/>
          <w:szCs w:val="30"/>
        </w:rPr>
        <w:t>或</w:t>
      </w:r>
      <w:r>
        <w:rPr>
          <w:rFonts w:hint="eastAsia" w:ascii="仿宋" w:hAnsi="仿宋" w:eastAsia="仿宋" w:cs="仿宋"/>
          <w:b/>
          <w:bCs/>
          <w:color w:val="C00000"/>
          <w:sz w:val="30"/>
          <w:szCs w:val="30"/>
        </w:rPr>
        <w:t>工作时间较多</w:t>
      </w:r>
      <w:r>
        <w:rPr>
          <w:rFonts w:hint="eastAsia" w:ascii="仿宋" w:hAnsi="仿宋" w:eastAsia="仿宋" w:cs="仿宋"/>
          <w:sz w:val="30"/>
          <w:szCs w:val="30"/>
        </w:rPr>
        <w:t>的属性选择其中一种进行填报。</w:t>
      </w:r>
    </w:p>
    <w:p>
      <w:pPr>
        <w:pStyle w:val="21"/>
        <w:adjustRightInd w:val="0"/>
        <w:snapToGrid w:val="0"/>
        <w:spacing w:after="0" w:line="600" w:lineRule="exact"/>
        <w:rPr>
          <w:rFonts w:ascii="仿宋" w:hAnsi="仿宋" w:eastAsia="仿宋" w:cs="仿宋"/>
          <w:bCs/>
          <w:sz w:val="30"/>
          <w:szCs w:val="30"/>
        </w:rPr>
      </w:pPr>
      <w:r>
        <w:rPr>
          <w:rFonts w:ascii="楷体" w:hAnsi="楷体" w:eastAsia="楷体"/>
          <w:b w:val="0"/>
          <w:sz w:val="30"/>
          <w:szCs w:val="30"/>
        </w:rPr>
        <w:t>（八）用工形式</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本调查针对全日制的劳动合同用工以及劳务派遣人员。全日制与“非全日制”相对，是指（劳动者与用人单位签订劳动合同）企业从业人员在同一用人单位一般平均每日工作时间超过4小时，每周工作时间累计超过24小时的用工形式。</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劳务派遣工是指企业中以劳务派遣用工形式向企业提供劳动的劳动者。在劳务派遣用工形式中存在三方关系，即：劳务派遣单位与劳动者订立劳动合同；劳务派遣单位与用人单位订立劳务派遣协议；劳动者在用人单位工作。</w:t>
      </w:r>
    </w:p>
    <w:p>
      <w:pPr>
        <w:pStyle w:val="33"/>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填写要求：必填，分为合同制度用工、劳务派遣用工两种形式。</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（九）劳动合同类型</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指劳动者与企业签署的劳动合同的类型。按</w:t>
      </w:r>
      <w:r>
        <w:rPr>
          <w:rFonts w:hint="eastAsia" w:ascii="仿宋" w:hAnsi="仿宋" w:eastAsia="仿宋" w:cs="仿宋"/>
          <w:sz w:val="30"/>
          <w:szCs w:val="30"/>
          <w:lang w:eastAsia="zh-CN"/>
        </w:rPr>
        <w:t>《中华人民共和国劳动合同法》</w:t>
      </w:r>
      <w:r>
        <w:rPr>
          <w:rFonts w:hint="eastAsia" w:ascii="仿宋" w:hAnsi="仿宋" w:eastAsia="仿宋" w:cs="仿宋"/>
          <w:sz w:val="30"/>
          <w:szCs w:val="30"/>
        </w:rPr>
        <w:t>有关规定，劳动合同类型分为固定期限、无固定期限、以完成一定工作任务为期限三种类型。</w:t>
      </w:r>
    </w:p>
    <w:p>
      <w:pPr>
        <w:pStyle w:val="33"/>
        <w:snapToGrid w:val="0"/>
        <w:spacing w:after="0" w:line="600" w:lineRule="exact"/>
        <w:ind w:firstLine="602"/>
        <w:rPr>
          <w:rFonts w:ascii="仿宋" w:hAnsi="仿宋" w:eastAsia="仿宋" w:cs="仿宋"/>
          <w:b/>
          <w:bCs/>
          <w:sz w:val="30"/>
          <w:szCs w:val="30"/>
        </w:rPr>
      </w:pPr>
      <w:r>
        <w:rPr>
          <w:rFonts w:hint="eastAsia" w:ascii="仿宋" w:hAnsi="仿宋" w:eastAsia="仿宋" w:cs="仿宋"/>
          <w:b/>
          <w:bCs/>
          <w:color w:val="C00000"/>
          <w:sz w:val="30"/>
          <w:szCs w:val="30"/>
        </w:rPr>
        <w:t>填报要求：选填，上一指标选“劳务派遣工”的不填本项。</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w:t>
      </w:r>
      <w:r>
        <w:rPr>
          <w:rFonts w:hint="eastAsia" w:ascii="楷体" w:hAnsi="楷体" w:eastAsia="楷体"/>
          <w:b w:val="0"/>
          <w:sz w:val="30"/>
          <w:szCs w:val="30"/>
        </w:rPr>
        <w:t>全年</w:t>
      </w:r>
      <w:r>
        <w:rPr>
          <w:rFonts w:ascii="楷体" w:hAnsi="楷体" w:eastAsia="楷体"/>
          <w:b w:val="0"/>
          <w:sz w:val="30"/>
          <w:szCs w:val="30"/>
        </w:rPr>
        <w:t>周</w:t>
      </w:r>
      <w:r>
        <w:rPr>
          <w:rFonts w:hint="eastAsia" w:ascii="楷体" w:hAnsi="楷体" w:eastAsia="楷体"/>
          <w:b w:val="0"/>
          <w:sz w:val="30"/>
          <w:szCs w:val="30"/>
        </w:rPr>
        <w:t>平均</w:t>
      </w:r>
      <w:r>
        <w:rPr>
          <w:rFonts w:ascii="楷体" w:hAnsi="楷体" w:eastAsia="楷体"/>
          <w:b w:val="0"/>
          <w:sz w:val="30"/>
          <w:szCs w:val="30"/>
        </w:rPr>
        <w:t>工作小时数</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指在调查年度内，劳动者平均一个工作周内实际参与企业生产劳动的小时数。</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月度之间工作量比较平均的人员，周平均工作小时数可以以其月实际工作小时数除以4计算；月度之间工作量不均衡的人员，周平均工作小时数可以以其全年实际工作小时数除以52计算。</w:t>
      </w:r>
    </w:p>
    <w:p>
      <w:pPr>
        <w:pStyle w:val="33"/>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填报要求：必填，数字型。劳动者周平均工作小时数应当在24～112之间。</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（十一）是否工会会员</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根据劳动者真实情况填报。劳动者的回答要与本企业工会的会员单位相符合。没有成立企业工会但是加入行业工会的属于工会会员。企业没有成立工会以及虽有工会但不确定被调查者是否为工会会员的，均按非工会会员填报。</w:t>
      </w:r>
    </w:p>
    <w:p>
      <w:pPr>
        <w:pStyle w:val="33"/>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填报要求：必填，在系统中勾选“是”或“否”。</w:t>
      </w:r>
    </w:p>
    <w:p>
      <w:pPr>
        <w:pStyle w:val="21"/>
        <w:adjustRightInd w:val="0"/>
        <w:snapToGrid w:val="0"/>
        <w:spacing w:after="0" w:line="600" w:lineRule="exact"/>
        <w:rPr>
          <w:rFonts w:ascii="楷体" w:hAnsi="楷体" w:eastAsia="楷体"/>
          <w:b w:val="0"/>
          <w:sz w:val="30"/>
          <w:szCs w:val="30"/>
        </w:rPr>
      </w:pPr>
      <w:r>
        <w:rPr>
          <w:rFonts w:ascii="楷体" w:hAnsi="楷体" w:eastAsia="楷体"/>
          <w:b w:val="0"/>
          <w:sz w:val="30"/>
          <w:szCs w:val="30"/>
        </w:rPr>
        <w:t>（十二）工资报酬</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劳动者因向企业提供劳动而直接取得的各种现金形式的劳动报酬，不包括入股分红、股权激励兑现收益和其他资本性收益，是应发工资总计。需要填写基本工资（类）、绩效工资（类）、津补贴（类）、加班加点工资4个二级指标。</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劳动者年工资报酬=基本工资（类）+绩效工资（类）+津补贴（类）+加班加点工资</w:t>
      </w:r>
    </w:p>
    <w:p>
      <w:pPr>
        <w:pStyle w:val="33"/>
        <w:tabs>
          <w:tab w:val="left" w:pos="425"/>
        </w:tabs>
        <w:snapToGrid w:val="0"/>
        <w:spacing w:after="0" w:line="600" w:lineRule="exact"/>
        <w:ind w:firstLineChars="0"/>
        <w:rPr>
          <w:rFonts w:ascii="仿宋" w:hAnsi="仿宋" w:eastAsia="仿宋" w:cs="仿宋"/>
          <w:b/>
          <w:bCs/>
          <w:color w:val="C00000"/>
          <w:sz w:val="30"/>
          <w:szCs w:val="30"/>
        </w:rPr>
      </w:pPr>
      <w:r>
        <w:rPr>
          <w:rFonts w:hint="eastAsia" w:ascii="仿宋" w:hAnsi="仿宋" w:eastAsia="仿宋" w:cs="仿宋"/>
          <w:b/>
          <w:bCs/>
          <w:color w:val="C00000"/>
          <w:sz w:val="30"/>
          <w:szCs w:val="30"/>
        </w:rPr>
        <w:t>填报要求：单位：元/年。劳动者年工资报酬为4个二级指标之和。</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根据本调查制度的目的和内容，按照分类概括限定法设计填报。</w:t>
      </w:r>
    </w:p>
    <w:p>
      <w:pPr>
        <w:pStyle w:val="34"/>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1.基本工资（类）</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按照劳动合同中约定的、与劳动者本人岗位相对应的、发放周期和发放水平相对固定的工资报酬。如标准工资、基础工资、岗位工资、合同工资、底薪等，包括其它不与绩效考核结果挂钩的工资项目，如工龄工资（津贴）。企业在劳动者在病、事、孕、产、哺乳期、探亲等各种特殊情况下支付的工资纳入基本工资（类）。</w:t>
      </w:r>
    </w:p>
    <w:p>
      <w:pPr>
        <w:pStyle w:val="33"/>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 xml:space="preserve">填报要求：必填，大于等于零的数字。单位：元/年。 </w:t>
      </w:r>
    </w:p>
    <w:p>
      <w:pPr>
        <w:pStyle w:val="34"/>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2.绩效工资（类）</w:t>
      </w:r>
    </w:p>
    <w:p>
      <w:pPr>
        <w:pStyle w:val="33"/>
        <w:snapToGrid w:val="0"/>
        <w:spacing w:after="0" w:line="600" w:lineRule="exact"/>
        <w:ind w:firstLine="600"/>
        <w:rPr>
          <w:rFonts w:ascii="仿宋" w:hAnsi="仿宋" w:eastAsia="仿宋" w:cs="仿宋"/>
          <w:b/>
          <w:sz w:val="30"/>
          <w:szCs w:val="30"/>
        </w:rPr>
      </w:pPr>
      <w:r>
        <w:rPr>
          <w:rFonts w:hint="eastAsia" w:ascii="仿宋" w:hAnsi="仿宋" w:eastAsia="仿宋" w:cs="仿宋"/>
          <w:sz w:val="30"/>
          <w:szCs w:val="30"/>
        </w:rPr>
        <w:t>指劳动者根据所在企业的经济效益、集体或本人绩效或实际表现获得的浮动性工资报酬，包括按月度、季度、半年、全年考核发放的奖金、效益工资或奖金性质的绩效工资，还包括销售提成、项目奖金、特别奖励、酬金、生产奖、节约奖、劳动竞赛奖、年底双薪、全勤奖等工资项目。</w:t>
      </w:r>
    </w:p>
    <w:p>
      <w:pPr>
        <w:pStyle w:val="33"/>
        <w:snapToGrid w:val="0"/>
        <w:spacing w:after="0" w:line="600" w:lineRule="exact"/>
        <w:ind w:firstLine="602"/>
        <w:rPr>
          <w:rFonts w:ascii="仿宋" w:hAnsi="仿宋" w:eastAsia="仿宋" w:cs="仿宋"/>
          <w:b/>
          <w:color w:val="C00000"/>
          <w:sz w:val="30"/>
          <w:szCs w:val="30"/>
        </w:rPr>
      </w:pPr>
      <w:r>
        <w:rPr>
          <w:rFonts w:hint="eastAsia" w:ascii="仿宋" w:hAnsi="仿宋" w:eastAsia="仿宋" w:cs="仿宋"/>
          <w:b/>
          <w:bCs/>
          <w:color w:val="C00000"/>
          <w:sz w:val="30"/>
          <w:szCs w:val="30"/>
        </w:rPr>
        <w:t>填报要求：必填，大于等于零的数字。单位：元/年。 当年劳动者本人没有领取此类工资的，填零。</w:t>
      </w:r>
    </w:p>
    <w:p>
      <w:pPr>
        <w:pStyle w:val="34"/>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3.津补贴（类）</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指按照国家或企业规定，为补偿本单位就业人员因特殊或额外的劳动消耗或因其他特殊原因支付的津贴以及为保证其工资不受物价影响而支付的物价补贴，包括艰苦岗位津贴、夜班津贴、倒班津贴、保健津贴、技术性津贴、地区津贴等工资项目；包括过节费、各种交通补贴、各种通信工具补助、无食堂补贴、劳动者不休假的补贴、各种住房租房补贴，还包括企业从福利费用中支付的劳动者个人的各种</w:t>
      </w:r>
      <w:r>
        <w:rPr>
          <w:rFonts w:hint="eastAsia" w:ascii="仿宋" w:hAnsi="仿宋" w:eastAsia="仿宋" w:cs="仿宋"/>
          <w:b/>
          <w:sz w:val="30"/>
          <w:szCs w:val="30"/>
        </w:rPr>
        <w:t>现金</w:t>
      </w:r>
      <w:r>
        <w:rPr>
          <w:rFonts w:hint="eastAsia" w:ascii="仿宋" w:hAnsi="仿宋" w:eastAsia="仿宋" w:cs="仿宋"/>
          <w:sz w:val="30"/>
          <w:szCs w:val="30"/>
        </w:rPr>
        <w:t>补贴。不包括加班加点工资。</w:t>
      </w:r>
    </w:p>
    <w:p>
      <w:pPr>
        <w:pStyle w:val="33"/>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填报要求：必填，大于等于零的数字。单位：元/年。 当年劳动者本人没有领取此类工资的，填零。</w:t>
      </w:r>
    </w:p>
    <w:p>
      <w:pPr>
        <w:pStyle w:val="34"/>
        <w:adjustRightInd w:val="0"/>
        <w:snapToGrid w:val="0"/>
        <w:spacing w:after="0"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4.加班加点工资</w:t>
      </w:r>
    </w:p>
    <w:p>
      <w:pPr>
        <w:pStyle w:val="33"/>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是指按照国家和本地区有关法规政策，由企业向劳动者支付的加班工资和加点工资，是调查期内劳动者因超时劳动而获得的劳动报酬。</w:t>
      </w:r>
    </w:p>
    <w:p>
      <w:pPr>
        <w:pStyle w:val="33"/>
        <w:snapToGrid w:val="0"/>
        <w:spacing w:after="0" w:line="600" w:lineRule="exact"/>
        <w:ind w:firstLine="602"/>
        <w:rPr>
          <w:rFonts w:ascii="仿宋" w:hAnsi="仿宋" w:eastAsia="仿宋" w:cs="仿宋"/>
          <w:b/>
          <w:bCs/>
          <w:color w:val="C00000"/>
          <w:sz w:val="30"/>
          <w:szCs w:val="30"/>
        </w:rPr>
      </w:pPr>
      <w:r>
        <w:rPr>
          <w:rFonts w:hint="eastAsia" w:ascii="仿宋" w:hAnsi="仿宋" w:eastAsia="仿宋" w:cs="仿宋"/>
          <w:b/>
          <w:bCs/>
          <w:color w:val="C00000"/>
          <w:sz w:val="30"/>
          <w:szCs w:val="30"/>
        </w:rPr>
        <w:t>填报要求：必填，大于等于零的数字。单位：元/年。 当年劳动者本人没有领取此类工资的，填零。</w:t>
      </w:r>
      <w:r>
        <w:rPr>
          <w:rFonts w:ascii="仿宋" w:hAnsi="仿宋" w:eastAsia="仿宋" w:cs="仿宋"/>
          <w:b/>
          <w:bCs/>
          <w:color w:val="C00000"/>
          <w:sz w:val="30"/>
          <w:szCs w:val="30"/>
        </w:rPr>
        <w:br w:type="page"/>
      </w:r>
    </w:p>
    <w:p>
      <w:pPr>
        <w:pStyle w:val="4"/>
        <w:snapToGrid w:val="0"/>
        <w:spacing w:after="0" w:line="600" w:lineRule="exact"/>
      </w:pPr>
      <w:bookmarkStart w:id="153" w:name="_Toc93509813"/>
      <w:r>
        <w:rPr>
          <w:rFonts w:hint="eastAsia"/>
        </w:rPr>
        <w:t>四、新就业形态劳动者劳动报酬情况有关指标</w:t>
      </w:r>
      <w:bookmarkEnd w:id="153"/>
    </w:p>
    <w:p>
      <w:pPr>
        <w:pStyle w:val="29"/>
      </w:pPr>
      <w:r>
        <w:rPr>
          <w:rFonts w:hint="eastAsia"/>
          <w:sz w:val="32"/>
          <w:szCs w:val="32"/>
        </w:rPr>
        <w:t>新就业形态劳动者劳动报酬情况</w:t>
      </w:r>
    </w:p>
    <w:p>
      <w:pPr>
        <w:spacing w:line="240" w:lineRule="exact"/>
        <w:ind w:left="5527" w:leftChars="2632"/>
        <w:rPr>
          <w:sz w:val="18"/>
          <w:szCs w:val="18"/>
        </w:rPr>
      </w:pPr>
      <w:r>
        <w:rPr>
          <w:rFonts w:hint="eastAsia"/>
          <w:sz w:val="18"/>
          <w:szCs w:val="18"/>
        </w:rPr>
        <w:t>表</w:t>
      </w:r>
      <w:r>
        <w:rPr>
          <w:sz w:val="18"/>
          <w:szCs w:val="18"/>
        </w:rPr>
        <w:t xml:space="preserve">    </w:t>
      </w:r>
      <w:r>
        <w:rPr>
          <w:rFonts w:hint="eastAsia"/>
          <w:sz w:val="18"/>
          <w:szCs w:val="18"/>
        </w:rPr>
        <w:t>号：人社统</w:t>
      </w:r>
      <w:r>
        <w:rPr>
          <w:sz w:val="18"/>
          <w:szCs w:val="18"/>
        </w:rPr>
        <w:t>IR7号</w:t>
      </w:r>
    </w:p>
    <w:p>
      <w:pPr>
        <w:spacing w:line="240" w:lineRule="exact"/>
        <w:ind w:left="5527" w:leftChars="2632"/>
        <w:rPr>
          <w:sz w:val="18"/>
          <w:szCs w:val="18"/>
        </w:rPr>
      </w:pPr>
      <w:r>
        <w:rPr>
          <w:rFonts w:hint="eastAsia"/>
          <w:sz w:val="18"/>
          <w:szCs w:val="18"/>
        </w:rPr>
        <w:t>制定机关：人力资源和社会保障部</w:t>
      </w:r>
    </w:p>
    <w:p>
      <w:pPr>
        <w:tabs>
          <w:tab w:val="left" w:pos="5115"/>
        </w:tabs>
        <w:spacing w:line="240" w:lineRule="exact"/>
        <w:ind w:left="5527" w:leftChars="2632"/>
        <w:rPr>
          <w:sz w:val="18"/>
          <w:szCs w:val="18"/>
        </w:rPr>
      </w:pPr>
      <w:r>
        <w:rPr>
          <w:rFonts w:hint="eastAsia"/>
          <w:sz w:val="18"/>
          <w:szCs w:val="18"/>
        </w:rPr>
        <w:t>批准机关：国家统计局</w:t>
      </w:r>
    </w:p>
    <w:p>
      <w:pPr>
        <w:tabs>
          <w:tab w:val="left" w:pos="5115"/>
        </w:tabs>
        <w:spacing w:line="240" w:lineRule="exact"/>
        <w:ind w:left="5527" w:leftChars="2632"/>
        <w:rPr>
          <w:sz w:val="18"/>
          <w:szCs w:val="18"/>
        </w:rPr>
      </w:pPr>
      <w:r>
        <w:rPr>
          <w:rFonts w:hint="eastAsia"/>
          <w:sz w:val="18"/>
          <w:szCs w:val="18"/>
        </w:rPr>
        <w:t>批准文号：国统制</w:t>
      </w:r>
      <w:r>
        <w:rPr>
          <w:rFonts w:hint="eastAsia" w:ascii="宋体" w:hAnsi="宋体" w:eastAsia="宋体" w:cs="宋体"/>
          <w:sz w:val="18"/>
          <w:szCs w:val="18"/>
        </w:rPr>
        <w:t>[</w:t>
      </w:r>
      <w:r>
        <w:rPr>
          <w:rFonts w:hint="eastAsia" w:cs="宋体"/>
          <w:sz w:val="18"/>
          <w:szCs w:val="18"/>
        </w:rPr>
        <w:t>20</w:t>
      </w:r>
      <w:r>
        <w:rPr>
          <w:rFonts w:cs="宋体"/>
          <w:sz w:val="18"/>
          <w:szCs w:val="18"/>
        </w:rPr>
        <w:t>22</w:t>
      </w:r>
      <w:r>
        <w:rPr>
          <w:rFonts w:hint="eastAsia" w:ascii="宋体" w:hAnsi="宋体" w:eastAsia="宋体" w:cs="宋体"/>
          <w:sz w:val="18"/>
          <w:szCs w:val="18"/>
        </w:rPr>
        <w:t>]</w:t>
      </w:r>
      <w:r>
        <w:rPr>
          <w:rFonts w:ascii="宋体" w:hAnsi="宋体" w:eastAsia="宋体" w:cs="宋体"/>
          <w:sz w:val="18"/>
          <w:szCs w:val="18"/>
        </w:rPr>
        <w:t>15</w:t>
      </w:r>
      <w:r>
        <w:rPr>
          <w:rFonts w:hint="eastAsia"/>
          <w:sz w:val="18"/>
          <w:szCs w:val="18"/>
        </w:rPr>
        <w:t>号</w:t>
      </w:r>
    </w:p>
    <w:p>
      <w:pPr>
        <w:tabs>
          <w:tab w:val="left" w:pos="5115"/>
        </w:tabs>
        <w:spacing w:line="240" w:lineRule="exact"/>
        <w:ind w:left="5527" w:leftChars="2632"/>
        <w:rPr>
          <w:sz w:val="18"/>
          <w:szCs w:val="18"/>
        </w:rPr>
      </w:pPr>
      <w:r>
        <w:rPr>
          <w:rFonts w:hint="eastAsia"/>
          <w:sz w:val="18"/>
          <w:szCs w:val="18"/>
        </w:rPr>
        <w:t>有效期至：20</w:t>
      </w:r>
      <w:r>
        <w:rPr>
          <w:rFonts w:hint="eastAsia"/>
          <w:sz w:val="18"/>
          <w:szCs w:val="18"/>
          <w:lang w:val="en-US" w:eastAsia="zh-CN"/>
        </w:rPr>
        <w:t>25</w:t>
      </w:r>
      <w:r>
        <w:rPr>
          <w:rFonts w:hint="eastAsia"/>
          <w:sz w:val="18"/>
          <w:szCs w:val="18"/>
        </w:rPr>
        <w:t>年</w:t>
      </w:r>
      <w:r>
        <w:rPr>
          <w:rFonts w:hint="eastAsia"/>
          <w:sz w:val="18"/>
          <w:szCs w:val="18"/>
          <w:lang w:val="en-US" w:eastAsia="zh-CN"/>
        </w:rPr>
        <w:t>1</w:t>
      </w:r>
      <w:r>
        <w:rPr>
          <w:rFonts w:hint="eastAsia"/>
          <w:sz w:val="18"/>
          <w:szCs w:val="18"/>
        </w:rPr>
        <w:t>月</w:t>
      </w:r>
    </w:p>
    <w:p>
      <w:pPr>
        <w:tabs>
          <w:tab w:val="left" w:pos="5115"/>
        </w:tabs>
        <w:spacing w:line="240" w:lineRule="exact"/>
        <w:jc w:val="center"/>
        <w:rPr>
          <w:rFonts w:cs="宋体"/>
          <w:sz w:val="22"/>
          <w:szCs w:val="22"/>
        </w:rPr>
      </w:pPr>
    </w:p>
    <w:p>
      <w:pPr>
        <w:tabs>
          <w:tab w:val="left" w:pos="5115"/>
        </w:tabs>
        <w:spacing w:line="240" w:lineRule="exact"/>
        <w:jc w:val="center"/>
        <w:rPr>
          <w:rFonts w:cs="宋体"/>
          <w:sz w:val="22"/>
          <w:szCs w:val="22"/>
        </w:rPr>
      </w:pPr>
    </w:p>
    <w:p>
      <w:pPr>
        <w:tabs>
          <w:tab w:val="left" w:pos="5115"/>
        </w:tabs>
        <w:spacing w:line="240" w:lineRule="exact"/>
        <w:ind w:firstLine="270" w:firstLineChars="150"/>
        <w:rPr>
          <w:sz w:val="18"/>
          <w:szCs w:val="18"/>
        </w:rPr>
      </w:pPr>
      <w:r>
        <w:rPr>
          <w:rFonts w:hint="eastAsia"/>
          <w:sz w:val="18"/>
          <w:szCs w:val="18"/>
        </w:rPr>
        <w:t>统一社会信用代码□□□□□□□□□□□□□□□□□□</w:t>
      </w:r>
    </w:p>
    <w:p>
      <w:pPr>
        <w:tabs>
          <w:tab w:val="left" w:pos="5115"/>
        </w:tabs>
        <w:spacing w:line="240" w:lineRule="exact"/>
        <w:ind w:firstLine="270" w:firstLineChars="150"/>
        <w:rPr>
          <w:sz w:val="18"/>
          <w:szCs w:val="18"/>
          <w:u w:val="single"/>
        </w:rPr>
      </w:pPr>
      <w:r>
        <w:rPr>
          <w:rFonts w:hint="eastAsia"/>
          <w:sz w:val="18"/>
          <w:szCs w:val="18"/>
        </w:rPr>
        <w:t>法人单位名称：</w:t>
      </w:r>
      <w:r>
        <w:rPr>
          <w:sz w:val="18"/>
          <w:szCs w:val="18"/>
          <w:u w:val="single"/>
        </w:rPr>
        <w:t xml:space="preserve">                                    </w:t>
      </w:r>
    </w:p>
    <w:p>
      <w:pPr>
        <w:tabs>
          <w:tab w:val="left" w:pos="5115"/>
        </w:tabs>
        <w:spacing w:line="240" w:lineRule="exact"/>
        <w:ind w:firstLine="330" w:firstLineChars="150"/>
        <w:jc w:val="right"/>
        <w:rPr>
          <w:rFonts w:cs="宋体"/>
          <w:sz w:val="22"/>
          <w:szCs w:val="22"/>
        </w:rPr>
      </w:pPr>
      <w:r>
        <w:rPr>
          <w:rFonts w:cs="宋体"/>
          <w:sz w:val="22"/>
          <w:szCs w:val="22"/>
        </w:rPr>
        <w:t xml:space="preserve">  </w:t>
      </w:r>
    </w:p>
    <w:tbl>
      <w:tblPr>
        <w:tblStyle w:val="17"/>
        <w:tblpPr w:leftFromText="180" w:rightFromText="180" w:vertAnchor="text" w:horzAnchor="margin" w:tblpXSpec="center" w:tblpY="302"/>
        <w:tblW w:w="8779" w:type="dxa"/>
        <w:tblInd w:w="0" w:type="dxa"/>
        <w:tblLayout w:type="fixed"/>
        <w:tblCellMar>
          <w:top w:w="0" w:type="dxa"/>
          <w:left w:w="0" w:type="dxa"/>
          <w:bottom w:w="0" w:type="dxa"/>
          <w:right w:w="0" w:type="dxa"/>
        </w:tblCellMar>
      </w:tblPr>
      <w:tblGrid>
        <w:gridCol w:w="516"/>
        <w:gridCol w:w="525"/>
        <w:gridCol w:w="465"/>
        <w:gridCol w:w="510"/>
        <w:gridCol w:w="493"/>
        <w:gridCol w:w="688"/>
        <w:gridCol w:w="587"/>
        <w:gridCol w:w="600"/>
        <w:gridCol w:w="771"/>
        <w:gridCol w:w="610"/>
        <w:gridCol w:w="650"/>
        <w:gridCol w:w="700"/>
        <w:gridCol w:w="740"/>
        <w:gridCol w:w="580"/>
        <w:gridCol w:w="344"/>
      </w:tblGrid>
      <w:tr>
        <w:tblPrEx>
          <w:tblCellMar>
            <w:top w:w="0" w:type="dxa"/>
            <w:left w:w="0" w:type="dxa"/>
            <w:bottom w:w="0" w:type="dxa"/>
            <w:right w:w="0" w:type="dxa"/>
          </w:tblCellMar>
        </w:tblPrEx>
        <w:trPr>
          <w:cantSplit/>
          <w:trHeight w:val="280" w:hRule="atLeast"/>
        </w:trPr>
        <w:tc>
          <w:tcPr>
            <w:tcW w:w="516" w:type="dxa"/>
            <w:vMerge w:val="restart"/>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cs="宋体"/>
                <w:sz w:val="18"/>
                <w:szCs w:val="18"/>
              </w:rPr>
              <w:t>人员</w:t>
            </w:r>
            <w:r>
              <w:rPr>
                <w:rFonts w:hint="eastAsia" w:cs="宋体"/>
                <w:sz w:val="18"/>
                <w:szCs w:val="18"/>
              </w:rPr>
              <w:t>代码</w:t>
            </w:r>
          </w:p>
        </w:tc>
        <w:tc>
          <w:tcPr>
            <w:tcW w:w="525" w:type="dxa"/>
            <w:vMerge w:val="restart"/>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性别</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出生</w:t>
            </w:r>
            <w:r>
              <w:rPr>
                <w:rFonts w:cs="宋体"/>
                <w:sz w:val="18"/>
                <w:szCs w:val="18"/>
              </w:rPr>
              <w:br w:type="textWrapping"/>
            </w:r>
            <w:r>
              <w:rPr>
                <w:rFonts w:hint="eastAsia" w:cs="宋体"/>
                <w:sz w:val="18"/>
                <w:szCs w:val="18"/>
              </w:rPr>
              <w:t>年份</w:t>
            </w:r>
          </w:p>
        </w:tc>
        <w:tc>
          <w:tcPr>
            <w:tcW w:w="5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学历</w:t>
            </w: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hint="eastAsia" w:cs="宋体"/>
                <w:sz w:val="18"/>
                <w:szCs w:val="18"/>
              </w:rPr>
              <w:t>职业</w:t>
            </w:r>
          </w:p>
        </w:tc>
        <w:tc>
          <w:tcPr>
            <w:tcW w:w="688" w:type="dxa"/>
            <w:vMerge w:val="restart"/>
            <w:tcBorders>
              <w:top w:val="single" w:color="auto" w:sz="4" w:space="0"/>
              <w:left w:val="single" w:color="auto" w:sz="4" w:space="0"/>
              <w:right w:val="single" w:color="auto" w:sz="4" w:space="0"/>
            </w:tcBorders>
            <w:vAlign w:val="center"/>
          </w:tcPr>
          <w:p>
            <w:pPr>
              <w:jc w:val="center"/>
              <w:rPr>
                <w:rFonts w:cs="宋体"/>
                <w:sz w:val="18"/>
                <w:szCs w:val="18"/>
              </w:rPr>
            </w:pPr>
            <w:r>
              <w:rPr>
                <w:rFonts w:cs="宋体"/>
                <w:sz w:val="18"/>
                <w:szCs w:val="18"/>
              </w:rPr>
              <w:t>工作</w:t>
            </w:r>
          </w:p>
          <w:p>
            <w:pPr>
              <w:jc w:val="center"/>
              <w:rPr>
                <w:rFonts w:cs="宋体"/>
                <w:sz w:val="18"/>
                <w:szCs w:val="18"/>
              </w:rPr>
            </w:pPr>
            <w:r>
              <w:rPr>
                <w:rFonts w:cs="宋体"/>
                <w:sz w:val="18"/>
                <w:szCs w:val="18"/>
              </w:rPr>
              <w:t>所在地</w:t>
            </w:r>
          </w:p>
          <w:p>
            <w:pPr>
              <w:jc w:val="center"/>
              <w:rPr>
                <w:rFonts w:cs="宋体"/>
                <w:sz w:val="18"/>
                <w:szCs w:val="18"/>
              </w:rPr>
            </w:pPr>
            <w:r>
              <w:rPr>
                <w:rFonts w:cs="宋体"/>
                <w:sz w:val="18"/>
                <w:szCs w:val="18"/>
              </w:rPr>
              <w:t>行政</w:t>
            </w:r>
          </w:p>
          <w:p>
            <w:pPr>
              <w:jc w:val="center"/>
              <w:rPr>
                <w:rFonts w:cs="宋体"/>
                <w:sz w:val="18"/>
                <w:szCs w:val="18"/>
              </w:rPr>
            </w:pPr>
            <w:r>
              <w:rPr>
                <w:rFonts w:cs="宋体"/>
                <w:sz w:val="18"/>
                <w:szCs w:val="18"/>
              </w:rPr>
              <w:t>区划</w:t>
            </w:r>
          </w:p>
          <w:p>
            <w:pPr>
              <w:jc w:val="center"/>
              <w:rPr>
                <w:rFonts w:cs="宋体"/>
                <w:sz w:val="18"/>
                <w:szCs w:val="18"/>
              </w:rPr>
            </w:pPr>
            <w:r>
              <w:rPr>
                <w:rFonts w:cs="宋体"/>
                <w:sz w:val="18"/>
                <w:szCs w:val="18"/>
              </w:rPr>
              <w:t>代码</w:t>
            </w:r>
          </w:p>
        </w:tc>
        <w:tc>
          <w:tcPr>
            <w:tcW w:w="587" w:type="dxa"/>
            <w:vMerge w:val="restart"/>
            <w:tcBorders>
              <w:top w:val="single" w:color="auto" w:sz="4" w:space="0"/>
              <w:left w:val="single" w:color="auto" w:sz="4" w:space="0"/>
              <w:right w:val="single" w:color="auto" w:sz="4" w:space="0"/>
            </w:tcBorders>
            <w:vAlign w:val="center"/>
          </w:tcPr>
          <w:p>
            <w:pPr>
              <w:jc w:val="center"/>
              <w:rPr>
                <w:rFonts w:cs="宋体"/>
                <w:sz w:val="18"/>
                <w:szCs w:val="18"/>
              </w:rPr>
            </w:pPr>
            <w:r>
              <w:rPr>
                <w:rFonts w:hint="eastAsia" w:cs="宋体"/>
                <w:sz w:val="18"/>
                <w:szCs w:val="18"/>
              </w:rPr>
              <w:t>全年</w:t>
            </w:r>
            <w:r>
              <w:rPr>
                <w:rFonts w:cs="宋体"/>
                <w:sz w:val="18"/>
                <w:szCs w:val="18"/>
              </w:rPr>
              <w:br w:type="textWrapping"/>
            </w:r>
            <w:r>
              <w:rPr>
                <w:rFonts w:cs="宋体"/>
                <w:sz w:val="18"/>
                <w:szCs w:val="18"/>
              </w:rPr>
              <w:t>实际</w:t>
            </w:r>
          </w:p>
          <w:p>
            <w:pPr>
              <w:jc w:val="center"/>
              <w:rPr>
                <w:rFonts w:cs="宋体"/>
                <w:sz w:val="18"/>
                <w:szCs w:val="18"/>
              </w:rPr>
            </w:pPr>
            <w:r>
              <w:rPr>
                <w:rFonts w:cs="宋体"/>
                <w:sz w:val="18"/>
                <w:szCs w:val="18"/>
              </w:rPr>
              <w:t>工作</w:t>
            </w:r>
          </w:p>
          <w:p>
            <w:pPr>
              <w:jc w:val="center"/>
              <w:rPr>
                <w:rFonts w:cs="宋体"/>
                <w:sz w:val="18"/>
                <w:szCs w:val="18"/>
              </w:rPr>
            </w:pPr>
            <w:r>
              <w:rPr>
                <w:rFonts w:cs="宋体"/>
                <w:sz w:val="18"/>
                <w:szCs w:val="18"/>
              </w:rPr>
              <w:t>月数</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cs="宋体"/>
                <w:sz w:val="18"/>
                <w:szCs w:val="18"/>
              </w:rPr>
              <w:t>全年</w:t>
            </w:r>
          </w:p>
          <w:p>
            <w:pPr>
              <w:jc w:val="center"/>
              <w:rPr>
                <w:rFonts w:cs="宋体"/>
                <w:sz w:val="18"/>
                <w:szCs w:val="18"/>
              </w:rPr>
            </w:pPr>
            <w:r>
              <w:rPr>
                <w:rFonts w:cs="宋体"/>
                <w:sz w:val="18"/>
                <w:szCs w:val="18"/>
              </w:rPr>
              <w:t>平台</w:t>
            </w:r>
          </w:p>
          <w:p>
            <w:pPr>
              <w:jc w:val="center"/>
              <w:rPr>
                <w:rFonts w:cs="宋体"/>
                <w:sz w:val="18"/>
                <w:szCs w:val="18"/>
              </w:rPr>
            </w:pPr>
            <w:r>
              <w:rPr>
                <w:rFonts w:cs="宋体"/>
                <w:sz w:val="18"/>
                <w:szCs w:val="18"/>
              </w:rPr>
              <w:t>在线</w:t>
            </w:r>
          </w:p>
          <w:p>
            <w:pPr>
              <w:jc w:val="center"/>
              <w:rPr>
                <w:rFonts w:cs="宋体"/>
                <w:sz w:val="18"/>
                <w:szCs w:val="18"/>
              </w:rPr>
            </w:pPr>
            <w:r>
              <w:rPr>
                <w:rFonts w:cs="宋体"/>
                <w:sz w:val="18"/>
                <w:szCs w:val="18"/>
              </w:rPr>
              <w:t>时长</w:t>
            </w:r>
          </w:p>
          <w:p>
            <w:pPr>
              <w:jc w:val="center"/>
              <w:rPr>
                <w:rFonts w:cs="宋体"/>
                <w:sz w:val="18"/>
                <w:szCs w:val="18"/>
              </w:rPr>
            </w:pPr>
            <w:r>
              <w:rPr>
                <w:rFonts w:cs="宋体"/>
                <w:sz w:val="18"/>
                <w:szCs w:val="18"/>
              </w:rPr>
              <w:t>合计</w:t>
            </w:r>
          </w:p>
        </w:tc>
        <w:tc>
          <w:tcPr>
            <w:tcW w:w="771" w:type="dxa"/>
            <w:vMerge w:val="restart"/>
            <w:tcBorders>
              <w:top w:val="single" w:color="auto" w:sz="4" w:space="0"/>
              <w:left w:val="single" w:color="auto" w:sz="4" w:space="0"/>
              <w:right w:val="single" w:color="auto" w:sz="4" w:space="0"/>
            </w:tcBorders>
            <w:vAlign w:val="center"/>
          </w:tcPr>
          <w:p>
            <w:pPr>
              <w:jc w:val="center"/>
              <w:rPr>
                <w:rFonts w:cs="宋体"/>
                <w:sz w:val="18"/>
                <w:szCs w:val="18"/>
              </w:rPr>
            </w:pPr>
            <w:r>
              <w:rPr>
                <w:rFonts w:hint="eastAsia" w:cs="宋体"/>
                <w:sz w:val="18"/>
                <w:szCs w:val="18"/>
              </w:rPr>
              <w:t>全年</w:t>
            </w:r>
            <w:r>
              <w:rPr>
                <w:rFonts w:cs="宋体"/>
                <w:sz w:val="18"/>
                <w:szCs w:val="18"/>
              </w:rPr>
              <w:br w:type="textWrapping"/>
            </w:r>
            <w:r>
              <w:rPr>
                <w:rFonts w:cs="宋体"/>
                <w:sz w:val="18"/>
                <w:szCs w:val="18"/>
              </w:rPr>
              <w:t>实际</w:t>
            </w:r>
          </w:p>
          <w:p>
            <w:pPr>
              <w:jc w:val="center"/>
              <w:rPr>
                <w:rFonts w:cs="宋体"/>
                <w:sz w:val="18"/>
                <w:szCs w:val="18"/>
              </w:rPr>
            </w:pPr>
            <w:r>
              <w:rPr>
                <w:rFonts w:cs="宋体"/>
                <w:sz w:val="18"/>
                <w:szCs w:val="18"/>
              </w:rPr>
              <w:t>服务</w:t>
            </w:r>
          </w:p>
          <w:p>
            <w:pPr>
              <w:jc w:val="center"/>
              <w:rPr>
                <w:rFonts w:cs="宋体"/>
                <w:sz w:val="18"/>
                <w:szCs w:val="18"/>
              </w:rPr>
            </w:pPr>
            <w:r>
              <w:rPr>
                <w:rFonts w:cs="宋体"/>
                <w:sz w:val="18"/>
                <w:szCs w:val="18"/>
              </w:rPr>
              <w:t>时长</w:t>
            </w:r>
          </w:p>
          <w:p>
            <w:pPr>
              <w:jc w:val="center"/>
              <w:rPr>
                <w:rFonts w:cs="宋体"/>
                <w:sz w:val="18"/>
                <w:szCs w:val="18"/>
              </w:rPr>
            </w:pPr>
            <w:r>
              <w:rPr>
                <w:rFonts w:cs="宋体"/>
                <w:sz w:val="18"/>
                <w:szCs w:val="18"/>
              </w:rPr>
              <w:t>合计</w:t>
            </w:r>
          </w:p>
        </w:tc>
        <w:tc>
          <w:tcPr>
            <w:tcW w:w="610" w:type="dxa"/>
            <w:vMerge w:val="restart"/>
            <w:tcBorders>
              <w:top w:val="single" w:color="auto" w:sz="4" w:space="0"/>
              <w:left w:val="single" w:color="auto" w:sz="4" w:space="0"/>
              <w:right w:val="nil"/>
            </w:tcBorders>
            <w:vAlign w:val="center"/>
          </w:tcPr>
          <w:p>
            <w:pPr>
              <w:jc w:val="center"/>
              <w:rPr>
                <w:rFonts w:cs="宋体"/>
                <w:sz w:val="18"/>
                <w:szCs w:val="18"/>
              </w:rPr>
            </w:pPr>
            <w:r>
              <w:rPr>
                <w:rFonts w:hint="eastAsia" w:cs="宋体"/>
                <w:sz w:val="18"/>
                <w:szCs w:val="18"/>
              </w:rPr>
              <w:t>全年</w:t>
            </w:r>
            <w:r>
              <w:rPr>
                <w:rFonts w:cs="宋体"/>
                <w:sz w:val="18"/>
                <w:szCs w:val="18"/>
              </w:rPr>
              <w:br w:type="textWrapping"/>
            </w:r>
            <w:r>
              <w:rPr>
                <w:rFonts w:cs="宋体"/>
                <w:sz w:val="18"/>
                <w:szCs w:val="18"/>
              </w:rPr>
              <w:t>劳动</w:t>
            </w:r>
          </w:p>
          <w:p>
            <w:pPr>
              <w:jc w:val="center"/>
              <w:rPr>
                <w:rFonts w:cs="宋体"/>
                <w:sz w:val="18"/>
                <w:szCs w:val="18"/>
              </w:rPr>
            </w:pPr>
            <w:r>
              <w:rPr>
                <w:rFonts w:hint="eastAsia" w:cs="宋体"/>
                <w:sz w:val="18"/>
                <w:szCs w:val="18"/>
              </w:rPr>
              <w:t>报酬</w:t>
            </w:r>
            <w:r>
              <w:rPr>
                <w:rFonts w:cs="宋体"/>
                <w:sz w:val="18"/>
                <w:szCs w:val="18"/>
              </w:rPr>
              <w:br w:type="textWrapping"/>
            </w:r>
            <w:r>
              <w:rPr>
                <w:rFonts w:hint="eastAsia" w:cs="宋体"/>
                <w:sz w:val="18"/>
                <w:szCs w:val="18"/>
              </w:rPr>
              <w:t>合计</w:t>
            </w:r>
          </w:p>
        </w:tc>
        <w:tc>
          <w:tcPr>
            <w:tcW w:w="1350" w:type="dxa"/>
            <w:gridSpan w:val="2"/>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c>
          <w:tcPr>
            <w:tcW w:w="740"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c>
          <w:tcPr>
            <w:tcW w:w="580"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c>
          <w:tcPr>
            <w:tcW w:w="344" w:type="dxa"/>
            <w:tcBorders>
              <w:top w:val="single" w:color="auto" w:sz="4" w:space="0"/>
              <w:left w:val="nil"/>
              <w:bottom w:val="nil"/>
              <w:right w:val="nil"/>
            </w:tcBorders>
            <w:vAlign w:val="center"/>
          </w:tcPr>
          <w:p>
            <w:pPr>
              <w:rPr>
                <w:rFonts w:cs="宋体"/>
                <w:sz w:val="18"/>
                <w:szCs w:val="18"/>
              </w:rPr>
            </w:pPr>
            <w:r>
              <w:rPr>
                <w:rFonts w:hint="eastAsia" w:cs="宋体"/>
                <w:sz w:val="18"/>
                <w:szCs w:val="18"/>
              </w:rPr>
              <w:t>　</w:t>
            </w:r>
          </w:p>
        </w:tc>
      </w:tr>
      <w:tr>
        <w:tblPrEx>
          <w:tblCellMar>
            <w:top w:w="0" w:type="dxa"/>
            <w:left w:w="0" w:type="dxa"/>
            <w:bottom w:w="0" w:type="dxa"/>
            <w:right w:w="0" w:type="dxa"/>
          </w:tblCellMar>
        </w:tblPrEx>
        <w:trPr>
          <w:cantSplit/>
          <w:trHeight w:val="1581" w:hRule="atLeast"/>
        </w:trPr>
        <w:tc>
          <w:tcPr>
            <w:tcW w:w="516" w:type="dxa"/>
            <w:vMerge w:val="continue"/>
            <w:tcBorders>
              <w:top w:val="nil"/>
              <w:left w:val="nil"/>
              <w:bottom w:val="single" w:color="auto" w:sz="4" w:space="0"/>
              <w:right w:val="single" w:color="auto" w:sz="4" w:space="0"/>
            </w:tcBorders>
            <w:vAlign w:val="center"/>
          </w:tcPr>
          <w:p>
            <w:pPr>
              <w:rPr>
                <w:rFonts w:cs="宋体"/>
                <w:sz w:val="18"/>
                <w:szCs w:val="18"/>
              </w:rPr>
            </w:pPr>
          </w:p>
        </w:tc>
        <w:tc>
          <w:tcPr>
            <w:tcW w:w="525" w:type="dxa"/>
            <w:vMerge w:val="continue"/>
            <w:tcBorders>
              <w:top w:val="nil"/>
              <w:left w:val="nil"/>
              <w:bottom w:val="single" w:color="auto" w:sz="4" w:space="0"/>
              <w:right w:val="single" w:color="auto" w:sz="4" w:space="0"/>
            </w:tcBorders>
            <w:vAlign w:val="center"/>
          </w:tcPr>
          <w:p>
            <w:pPr>
              <w:rPr>
                <w:rFonts w:cs="宋体"/>
                <w:sz w:val="18"/>
                <w:szCs w:val="18"/>
              </w:rPr>
            </w:pPr>
          </w:p>
        </w:tc>
        <w:tc>
          <w:tcPr>
            <w:tcW w:w="465"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510"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493"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688" w:type="dxa"/>
            <w:vMerge w:val="continue"/>
            <w:tcBorders>
              <w:left w:val="single" w:color="auto" w:sz="4" w:space="0"/>
              <w:bottom w:val="single" w:color="auto" w:sz="4" w:space="0"/>
              <w:right w:val="single" w:color="auto" w:sz="4" w:space="0"/>
            </w:tcBorders>
            <w:vAlign w:val="center"/>
          </w:tcPr>
          <w:p>
            <w:pPr>
              <w:rPr>
                <w:rFonts w:cs="宋体"/>
                <w:sz w:val="18"/>
                <w:szCs w:val="18"/>
              </w:rPr>
            </w:pPr>
          </w:p>
        </w:tc>
        <w:tc>
          <w:tcPr>
            <w:tcW w:w="587" w:type="dxa"/>
            <w:vMerge w:val="continue"/>
            <w:tcBorders>
              <w:left w:val="single" w:color="auto" w:sz="4" w:space="0"/>
              <w:bottom w:val="single" w:color="auto" w:sz="4" w:space="0"/>
              <w:right w:val="single" w:color="auto" w:sz="4" w:space="0"/>
            </w:tcBorders>
            <w:vAlign w:val="center"/>
          </w:tcPr>
          <w:p>
            <w:pPr>
              <w:rPr>
                <w:rFonts w:cs="宋体"/>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rPr>
                <w:rFonts w:cs="宋体"/>
                <w:sz w:val="18"/>
                <w:szCs w:val="18"/>
              </w:rPr>
            </w:pPr>
          </w:p>
        </w:tc>
        <w:tc>
          <w:tcPr>
            <w:tcW w:w="771" w:type="dxa"/>
            <w:vMerge w:val="continue"/>
            <w:tcBorders>
              <w:left w:val="single" w:color="auto" w:sz="4" w:space="0"/>
              <w:bottom w:val="single" w:color="auto" w:sz="4" w:space="0"/>
              <w:right w:val="single" w:color="auto" w:sz="4" w:space="0"/>
            </w:tcBorders>
            <w:vAlign w:val="center"/>
          </w:tcPr>
          <w:p>
            <w:pPr>
              <w:rPr>
                <w:rFonts w:cs="宋体"/>
                <w:sz w:val="18"/>
                <w:szCs w:val="18"/>
              </w:rPr>
            </w:pPr>
          </w:p>
        </w:tc>
        <w:tc>
          <w:tcPr>
            <w:tcW w:w="610" w:type="dxa"/>
            <w:vMerge w:val="continue"/>
            <w:tcBorders>
              <w:left w:val="single" w:color="auto" w:sz="4" w:space="0"/>
              <w:bottom w:val="single" w:color="auto" w:sz="4" w:space="0"/>
              <w:right w:val="nil"/>
            </w:tcBorders>
            <w:vAlign w:val="center"/>
          </w:tcPr>
          <w:p>
            <w:pPr>
              <w:rPr>
                <w:rFonts w:cs="宋体"/>
                <w:sz w:val="18"/>
                <w:szCs w:val="18"/>
              </w:rPr>
            </w:pP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cs="宋体"/>
                <w:sz w:val="18"/>
                <w:szCs w:val="18"/>
              </w:rPr>
              <w:t>基本</w:t>
            </w:r>
          </w:p>
          <w:p>
            <w:pPr>
              <w:jc w:val="center"/>
              <w:rPr>
                <w:rFonts w:cs="宋体"/>
                <w:sz w:val="18"/>
                <w:szCs w:val="18"/>
              </w:rPr>
            </w:pPr>
            <w:r>
              <w:rPr>
                <w:rFonts w:cs="宋体"/>
                <w:sz w:val="18"/>
                <w:szCs w:val="18"/>
              </w:rPr>
              <w:t>报酬</w:t>
            </w:r>
          </w:p>
          <w:p>
            <w:pPr>
              <w:jc w:val="center"/>
              <w:rPr>
                <w:rFonts w:cs="宋体"/>
                <w:sz w:val="18"/>
                <w:szCs w:val="18"/>
              </w:rPr>
            </w:pPr>
            <w:r>
              <w:rPr>
                <w:rFonts w:cs="宋体"/>
                <w:sz w:val="18"/>
                <w:szCs w:val="18"/>
              </w:rPr>
              <w:t>（类）</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cs="宋体"/>
                <w:sz w:val="18"/>
                <w:szCs w:val="18"/>
              </w:rPr>
            </w:pPr>
            <w:r>
              <w:rPr>
                <w:rFonts w:cs="宋体"/>
                <w:sz w:val="18"/>
                <w:szCs w:val="18"/>
              </w:rPr>
              <w:t>计件</w:t>
            </w:r>
          </w:p>
          <w:p>
            <w:pPr>
              <w:jc w:val="center"/>
              <w:rPr>
                <w:rFonts w:cs="宋体"/>
                <w:sz w:val="18"/>
                <w:szCs w:val="18"/>
              </w:rPr>
            </w:pPr>
            <w:r>
              <w:rPr>
                <w:rFonts w:cs="宋体"/>
                <w:sz w:val="18"/>
                <w:szCs w:val="18"/>
              </w:rPr>
              <w:t>报酬</w:t>
            </w:r>
          </w:p>
          <w:p>
            <w:pPr>
              <w:jc w:val="center"/>
              <w:rPr>
                <w:rFonts w:cs="宋体"/>
                <w:sz w:val="18"/>
                <w:szCs w:val="18"/>
              </w:rPr>
            </w:pPr>
            <w:r>
              <w:rPr>
                <w:rFonts w:cs="宋体"/>
                <w:sz w:val="18"/>
                <w:szCs w:val="18"/>
              </w:rPr>
              <w:t>（类）</w:t>
            </w:r>
          </w:p>
        </w:tc>
        <w:tc>
          <w:tcPr>
            <w:tcW w:w="740" w:type="dxa"/>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cs="宋体"/>
                <w:sz w:val="18"/>
                <w:szCs w:val="18"/>
              </w:rPr>
              <w:t>奖励</w:t>
            </w:r>
          </w:p>
          <w:p>
            <w:pPr>
              <w:jc w:val="center"/>
              <w:rPr>
                <w:rFonts w:cs="宋体"/>
                <w:sz w:val="18"/>
                <w:szCs w:val="18"/>
              </w:rPr>
            </w:pPr>
            <w:r>
              <w:rPr>
                <w:rFonts w:cs="宋体"/>
                <w:sz w:val="18"/>
                <w:szCs w:val="18"/>
              </w:rPr>
              <w:t>收入</w:t>
            </w:r>
          </w:p>
          <w:p>
            <w:pPr>
              <w:jc w:val="center"/>
              <w:rPr>
                <w:rFonts w:cs="宋体"/>
                <w:sz w:val="18"/>
                <w:szCs w:val="18"/>
              </w:rPr>
            </w:pPr>
            <w:r>
              <w:rPr>
                <w:rFonts w:cs="宋体"/>
                <w:sz w:val="18"/>
                <w:szCs w:val="18"/>
              </w:rPr>
              <w:t>（类）</w:t>
            </w:r>
          </w:p>
        </w:tc>
        <w:tc>
          <w:tcPr>
            <w:tcW w:w="580" w:type="dxa"/>
            <w:tcBorders>
              <w:top w:val="single" w:color="auto" w:sz="4" w:space="0"/>
              <w:left w:val="nil"/>
              <w:bottom w:val="single" w:color="auto" w:sz="4" w:space="0"/>
              <w:right w:val="single" w:color="auto" w:sz="4" w:space="0"/>
            </w:tcBorders>
            <w:vAlign w:val="center"/>
          </w:tcPr>
          <w:p>
            <w:pPr>
              <w:jc w:val="center"/>
              <w:rPr>
                <w:rFonts w:cs="宋体"/>
                <w:sz w:val="18"/>
                <w:szCs w:val="18"/>
              </w:rPr>
            </w:pPr>
            <w:r>
              <w:rPr>
                <w:rFonts w:cs="宋体"/>
                <w:sz w:val="18"/>
                <w:szCs w:val="18"/>
              </w:rPr>
              <w:t>津贴</w:t>
            </w:r>
          </w:p>
          <w:p>
            <w:pPr>
              <w:jc w:val="center"/>
              <w:rPr>
                <w:rFonts w:cs="宋体"/>
                <w:sz w:val="18"/>
                <w:szCs w:val="18"/>
              </w:rPr>
            </w:pPr>
            <w:r>
              <w:rPr>
                <w:rFonts w:cs="宋体"/>
                <w:sz w:val="18"/>
                <w:szCs w:val="18"/>
              </w:rPr>
              <w:t>补贴（类）</w:t>
            </w:r>
          </w:p>
        </w:tc>
        <w:tc>
          <w:tcPr>
            <w:tcW w:w="344" w:type="dxa"/>
            <w:tcBorders>
              <w:top w:val="single" w:color="auto" w:sz="4" w:space="0"/>
              <w:left w:val="nil"/>
              <w:bottom w:val="single" w:color="auto" w:sz="4" w:space="0"/>
              <w:right w:val="nil"/>
            </w:tcBorders>
            <w:vAlign w:val="center"/>
          </w:tcPr>
          <w:p>
            <w:pPr>
              <w:jc w:val="center"/>
              <w:rPr>
                <w:rFonts w:cs="宋体"/>
                <w:sz w:val="18"/>
                <w:szCs w:val="18"/>
              </w:rPr>
            </w:pPr>
            <w:r>
              <w:rPr>
                <w:rFonts w:cs="宋体"/>
                <w:sz w:val="18"/>
                <w:szCs w:val="18"/>
              </w:rPr>
              <w:t>其他</w:t>
            </w:r>
          </w:p>
        </w:tc>
      </w:tr>
      <w:tr>
        <w:tblPrEx>
          <w:tblCellMar>
            <w:top w:w="0" w:type="dxa"/>
            <w:left w:w="0" w:type="dxa"/>
            <w:bottom w:w="0" w:type="dxa"/>
            <w:right w:w="0" w:type="dxa"/>
          </w:tblCellMar>
        </w:tblPrEx>
        <w:trPr>
          <w:trHeight w:val="245" w:hRule="atLeast"/>
        </w:trPr>
        <w:tc>
          <w:tcPr>
            <w:tcW w:w="516" w:type="dxa"/>
            <w:tcBorders>
              <w:top w:val="nil"/>
              <w:left w:val="nil"/>
              <w:bottom w:val="single" w:color="auto" w:sz="4" w:space="0"/>
              <w:right w:val="single" w:color="auto" w:sz="4" w:space="0"/>
            </w:tcBorders>
            <w:vAlign w:val="center"/>
          </w:tcPr>
          <w:p>
            <w:pPr>
              <w:jc w:val="center"/>
              <w:rPr>
                <w:rFonts w:cs="宋体"/>
                <w:sz w:val="18"/>
                <w:szCs w:val="18"/>
              </w:rPr>
            </w:pPr>
            <w:r>
              <w:rPr>
                <w:rFonts w:hint="eastAsia" w:cs="宋体"/>
                <w:sz w:val="18"/>
                <w:szCs w:val="18"/>
              </w:rPr>
              <w:t>甲</w:t>
            </w:r>
          </w:p>
        </w:tc>
        <w:tc>
          <w:tcPr>
            <w:tcW w:w="52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1</w:t>
            </w:r>
          </w:p>
        </w:tc>
        <w:tc>
          <w:tcPr>
            <w:tcW w:w="465"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2</w:t>
            </w:r>
          </w:p>
        </w:tc>
        <w:tc>
          <w:tcPr>
            <w:tcW w:w="510"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3</w:t>
            </w:r>
          </w:p>
        </w:tc>
        <w:tc>
          <w:tcPr>
            <w:tcW w:w="493"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4</w:t>
            </w:r>
          </w:p>
        </w:tc>
        <w:tc>
          <w:tcPr>
            <w:tcW w:w="688" w:type="dxa"/>
            <w:tcBorders>
              <w:top w:val="nil"/>
              <w:left w:val="nil"/>
              <w:bottom w:val="single" w:color="auto" w:sz="4" w:space="0"/>
              <w:right w:val="single" w:color="auto" w:sz="4" w:space="0"/>
            </w:tcBorders>
            <w:vAlign w:val="center"/>
          </w:tcPr>
          <w:p>
            <w:pPr>
              <w:jc w:val="center"/>
              <w:rPr>
                <w:rFonts w:cs="宋体"/>
                <w:sz w:val="18"/>
                <w:szCs w:val="18"/>
              </w:rPr>
            </w:pPr>
            <w:r>
              <w:rPr>
                <w:rFonts w:cs="宋体"/>
                <w:sz w:val="18"/>
                <w:szCs w:val="18"/>
              </w:rPr>
              <w:t>5</w:t>
            </w:r>
          </w:p>
        </w:tc>
        <w:tc>
          <w:tcPr>
            <w:tcW w:w="587"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6</w:t>
            </w:r>
          </w:p>
        </w:tc>
        <w:tc>
          <w:tcPr>
            <w:tcW w:w="60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7</w:t>
            </w:r>
          </w:p>
        </w:tc>
        <w:tc>
          <w:tcPr>
            <w:tcW w:w="771"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8</w:t>
            </w:r>
          </w:p>
        </w:tc>
        <w:tc>
          <w:tcPr>
            <w:tcW w:w="61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9</w:t>
            </w:r>
          </w:p>
        </w:tc>
        <w:tc>
          <w:tcPr>
            <w:tcW w:w="65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10</w:t>
            </w:r>
          </w:p>
        </w:tc>
        <w:tc>
          <w:tcPr>
            <w:tcW w:w="70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11</w:t>
            </w:r>
          </w:p>
        </w:tc>
        <w:tc>
          <w:tcPr>
            <w:tcW w:w="74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12</w:t>
            </w:r>
          </w:p>
        </w:tc>
        <w:tc>
          <w:tcPr>
            <w:tcW w:w="580"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cs="宋体"/>
                <w:sz w:val="18"/>
                <w:szCs w:val="18"/>
              </w:rPr>
              <w:t>13</w:t>
            </w:r>
          </w:p>
        </w:tc>
        <w:tc>
          <w:tcPr>
            <w:tcW w:w="344" w:type="dxa"/>
            <w:tcBorders>
              <w:top w:val="nil"/>
              <w:left w:val="nil"/>
              <w:bottom w:val="single" w:color="auto" w:sz="4" w:space="0"/>
              <w:right w:val="nil"/>
            </w:tcBorders>
            <w:vAlign w:val="center"/>
          </w:tcPr>
          <w:p>
            <w:pPr>
              <w:jc w:val="center"/>
              <w:rPr>
                <w:rFonts w:cs="宋体"/>
                <w:sz w:val="18"/>
                <w:szCs w:val="18"/>
              </w:rPr>
            </w:pPr>
            <w:r>
              <w:rPr>
                <w:rFonts w:cs="宋体"/>
                <w:sz w:val="18"/>
                <w:szCs w:val="18"/>
              </w:rPr>
              <w:t>14</w:t>
            </w:r>
          </w:p>
        </w:tc>
      </w:tr>
      <w:tr>
        <w:tblPrEx>
          <w:tblCellMar>
            <w:top w:w="0" w:type="dxa"/>
            <w:left w:w="0" w:type="dxa"/>
            <w:bottom w:w="0" w:type="dxa"/>
            <w:right w:w="0" w:type="dxa"/>
          </w:tblCellMar>
        </w:tblPrEx>
        <w:trPr>
          <w:trHeight w:val="472" w:hRule="atLeast"/>
        </w:trPr>
        <w:tc>
          <w:tcPr>
            <w:tcW w:w="516" w:type="dxa"/>
            <w:tcBorders>
              <w:top w:val="nil"/>
              <w:left w:val="nil"/>
              <w:right w:val="single" w:color="auto" w:sz="4" w:space="0"/>
            </w:tcBorders>
            <w:vAlign w:val="center"/>
          </w:tcPr>
          <w:p>
            <w:pPr>
              <w:rPr>
                <w:rFonts w:cs="宋体"/>
                <w:sz w:val="16"/>
                <w:szCs w:val="16"/>
              </w:rPr>
            </w:pPr>
            <w:r>
              <w:rPr>
                <w:rFonts w:hint="eastAsia" w:cs="宋体"/>
                <w:sz w:val="16"/>
                <w:szCs w:val="16"/>
              </w:rPr>
              <w:t>　</w:t>
            </w:r>
          </w:p>
        </w:tc>
        <w:tc>
          <w:tcPr>
            <w:tcW w:w="525" w:type="dxa"/>
            <w:tcBorders>
              <w:top w:val="nil"/>
              <w:left w:val="nil"/>
              <w:right w:val="nil"/>
            </w:tcBorders>
            <w:vAlign w:val="center"/>
          </w:tcPr>
          <w:p>
            <w:pPr>
              <w:rPr>
                <w:rFonts w:cs="宋体"/>
                <w:sz w:val="16"/>
                <w:szCs w:val="16"/>
              </w:rPr>
            </w:pPr>
            <w:r>
              <w:rPr>
                <w:rFonts w:hint="eastAsia" w:cs="宋体"/>
                <w:sz w:val="16"/>
                <w:szCs w:val="16"/>
              </w:rPr>
              <w:t>　</w:t>
            </w:r>
          </w:p>
        </w:tc>
        <w:tc>
          <w:tcPr>
            <w:tcW w:w="465" w:type="dxa"/>
            <w:tcBorders>
              <w:top w:val="nil"/>
              <w:left w:val="nil"/>
              <w:right w:val="nil"/>
            </w:tcBorders>
            <w:vAlign w:val="center"/>
          </w:tcPr>
          <w:p>
            <w:pPr>
              <w:rPr>
                <w:rFonts w:cs="宋体"/>
                <w:sz w:val="16"/>
                <w:szCs w:val="16"/>
              </w:rPr>
            </w:pPr>
            <w:r>
              <w:rPr>
                <w:rFonts w:hint="eastAsia" w:cs="宋体"/>
                <w:sz w:val="16"/>
                <w:szCs w:val="16"/>
              </w:rPr>
              <w:t>　</w:t>
            </w:r>
          </w:p>
        </w:tc>
        <w:tc>
          <w:tcPr>
            <w:tcW w:w="510" w:type="dxa"/>
            <w:tcBorders>
              <w:top w:val="nil"/>
              <w:left w:val="nil"/>
              <w:right w:val="nil"/>
            </w:tcBorders>
            <w:vAlign w:val="center"/>
          </w:tcPr>
          <w:p>
            <w:pPr>
              <w:rPr>
                <w:rFonts w:cs="宋体"/>
                <w:sz w:val="16"/>
                <w:szCs w:val="16"/>
              </w:rPr>
            </w:pPr>
            <w:r>
              <w:rPr>
                <w:rFonts w:hint="eastAsia" w:cs="宋体"/>
                <w:sz w:val="16"/>
                <w:szCs w:val="16"/>
              </w:rPr>
              <w:t>　</w:t>
            </w:r>
          </w:p>
        </w:tc>
        <w:tc>
          <w:tcPr>
            <w:tcW w:w="493" w:type="dxa"/>
            <w:tcBorders>
              <w:top w:val="nil"/>
              <w:left w:val="nil"/>
              <w:right w:val="nil"/>
            </w:tcBorders>
            <w:vAlign w:val="center"/>
          </w:tcPr>
          <w:p>
            <w:pPr>
              <w:rPr>
                <w:rFonts w:cs="宋体"/>
                <w:sz w:val="16"/>
                <w:szCs w:val="16"/>
              </w:rPr>
            </w:pPr>
            <w:r>
              <w:rPr>
                <w:rFonts w:hint="eastAsia" w:cs="宋体"/>
                <w:sz w:val="16"/>
                <w:szCs w:val="16"/>
              </w:rPr>
              <w:t>　</w:t>
            </w:r>
          </w:p>
        </w:tc>
        <w:tc>
          <w:tcPr>
            <w:tcW w:w="688" w:type="dxa"/>
            <w:tcBorders>
              <w:top w:val="nil"/>
              <w:left w:val="nil"/>
              <w:right w:val="nil"/>
            </w:tcBorders>
            <w:vAlign w:val="center"/>
          </w:tcPr>
          <w:p>
            <w:pPr>
              <w:rPr>
                <w:rFonts w:cs="宋体"/>
                <w:sz w:val="16"/>
                <w:szCs w:val="16"/>
              </w:rPr>
            </w:pPr>
            <w:r>
              <w:rPr>
                <w:rFonts w:hint="eastAsia" w:cs="宋体"/>
                <w:sz w:val="16"/>
                <w:szCs w:val="16"/>
              </w:rPr>
              <w:t>　</w:t>
            </w:r>
          </w:p>
        </w:tc>
        <w:tc>
          <w:tcPr>
            <w:tcW w:w="587" w:type="dxa"/>
            <w:tcBorders>
              <w:top w:val="nil"/>
              <w:left w:val="nil"/>
              <w:right w:val="nil"/>
            </w:tcBorders>
            <w:vAlign w:val="center"/>
          </w:tcPr>
          <w:p>
            <w:pPr>
              <w:rPr>
                <w:rFonts w:cs="宋体"/>
                <w:sz w:val="16"/>
                <w:szCs w:val="16"/>
              </w:rPr>
            </w:pPr>
          </w:p>
        </w:tc>
        <w:tc>
          <w:tcPr>
            <w:tcW w:w="600" w:type="dxa"/>
            <w:tcBorders>
              <w:top w:val="nil"/>
              <w:left w:val="nil"/>
              <w:right w:val="nil"/>
            </w:tcBorders>
            <w:vAlign w:val="center"/>
          </w:tcPr>
          <w:p>
            <w:pPr>
              <w:rPr>
                <w:rFonts w:cs="宋体"/>
                <w:sz w:val="16"/>
                <w:szCs w:val="16"/>
              </w:rPr>
            </w:pPr>
            <w:r>
              <w:rPr>
                <w:rFonts w:hint="eastAsia" w:cs="宋体"/>
                <w:sz w:val="16"/>
                <w:szCs w:val="16"/>
              </w:rPr>
              <w:t>　</w:t>
            </w:r>
          </w:p>
        </w:tc>
        <w:tc>
          <w:tcPr>
            <w:tcW w:w="771" w:type="dxa"/>
            <w:tcBorders>
              <w:top w:val="nil"/>
              <w:left w:val="nil"/>
              <w:right w:val="nil"/>
            </w:tcBorders>
            <w:vAlign w:val="center"/>
          </w:tcPr>
          <w:p>
            <w:pPr>
              <w:rPr>
                <w:rFonts w:cs="宋体"/>
                <w:sz w:val="16"/>
                <w:szCs w:val="16"/>
              </w:rPr>
            </w:pPr>
          </w:p>
        </w:tc>
        <w:tc>
          <w:tcPr>
            <w:tcW w:w="610" w:type="dxa"/>
            <w:tcBorders>
              <w:top w:val="nil"/>
              <w:left w:val="nil"/>
              <w:right w:val="nil"/>
            </w:tcBorders>
            <w:vAlign w:val="center"/>
          </w:tcPr>
          <w:p>
            <w:pPr>
              <w:rPr>
                <w:rFonts w:cs="宋体"/>
                <w:sz w:val="16"/>
                <w:szCs w:val="16"/>
              </w:rPr>
            </w:pPr>
            <w:r>
              <w:rPr>
                <w:rFonts w:hint="eastAsia" w:cs="宋体"/>
                <w:sz w:val="16"/>
                <w:szCs w:val="16"/>
              </w:rPr>
              <w:t>　</w:t>
            </w:r>
          </w:p>
          <w:p>
            <w:pPr>
              <w:rPr>
                <w:rFonts w:cs="宋体"/>
                <w:sz w:val="16"/>
                <w:szCs w:val="16"/>
              </w:rPr>
            </w:pPr>
            <w:r>
              <w:rPr>
                <w:rFonts w:hint="eastAsia" w:cs="宋体"/>
                <w:sz w:val="16"/>
                <w:szCs w:val="16"/>
              </w:rPr>
              <w:t>　</w:t>
            </w:r>
          </w:p>
        </w:tc>
        <w:tc>
          <w:tcPr>
            <w:tcW w:w="650" w:type="dxa"/>
            <w:tcBorders>
              <w:top w:val="nil"/>
              <w:left w:val="nil"/>
              <w:right w:val="nil"/>
            </w:tcBorders>
            <w:vAlign w:val="center"/>
          </w:tcPr>
          <w:p>
            <w:pPr>
              <w:rPr>
                <w:rFonts w:cs="宋体"/>
                <w:sz w:val="16"/>
                <w:szCs w:val="16"/>
              </w:rPr>
            </w:pPr>
            <w:r>
              <w:rPr>
                <w:rFonts w:hint="eastAsia" w:cs="宋体"/>
                <w:sz w:val="16"/>
                <w:szCs w:val="16"/>
              </w:rPr>
              <w:t>　</w:t>
            </w:r>
          </w:p>
        </w:tc>
        <w:tc>
          <w:tcPr>
            <w:tcW w:w="700" w:type="dxa"/>
            <w:tcBorders>
              <w:top w:val="nil"/>
              <w:left w:val="nil"/>
              <w:right w:val="nil"/>
            </w:tcBorders>
            <w:vAlign w:val="center"/>
          </w:tcPr>
          <w:p>
            <w:pPr>
              <w:rPr>
                <w:rFonts w:cs="宋体"/>
                <w:sz w:val="16"/>
                <w:szCs w:val="16"/>
              </w:rPr>
            </w:pPr>
          </w:p>
        </w:tc>
        <w:tc>
          <w:tcPr>
            <w:tcW w:w="740" w:type="dxa"/>
            <w:tcBorders>
              <w:top w:val="nil"/>
              <w:left w:val="nil"/>
              <w:right w:val="nil"/>
            </w:tcBorders>
            <w:vAlign w:val="center"/>
          </w:tcPr>
          <w:p>
            <w:pPr>
              <w:rPr>
                <w:rFonts w:cs="宋体"/>
                <w:sz w:val="16"/>
                <w:szCs w:val="16"/>
              </w:rPr>
            </w:pPr>
            <w:r>
              <w:rPr>
                <w:rFonts w:hint="eastAsia" w:cs="宋体"/>
                <w:sz w:val="16"/>
                <w:szCs w:val="16"/>
              </w:rPr>
              <w:t>　</w:t>
            </w:r>
          </w:p>
        </w:tc>
        <w:tc>
          <w:tcPr>
            <w:tcW w:w="580" w:type="dxa"/>
            <w:tcBorders>
              <w:top w:val="nil"/>
              <w:left w:val="nil"/>
              <w:right w:val="nil"/>
            </w:tcBorders>
            <w:vAlign w:val="center"/>
          </w:tcPr>
          <w:p>
            <w:pPr>
              <w:rPr>
                <w:rFonts w:cs="宋体"/>
                <w:sz w:val="16"/>
                <w:szCs w:val="16"/>
              </w:rPr>
            </w:pPr>
            <w:r>
              <w:rPr>
                <w:rFonts w:hint="eastAsia" w:cs="宋体"/>
                <w:sz w:val="16"/>
                <w:szCs w:val="16"/>
              </w:rPr>
              <w:t>　</w:t>
            </w:r>
          </w:p>
        </w:tc>
        <w:tc>
          <w:tcPr>
            <w:tcW w:w="344" w:type="dxa"/>
            <w:tcBorders>
              <w:top w:val="nil"/>
              <w:left w:val="nil"/>
              <w:right w:val="nil"/>
            </w:tcBorders>
            <w:vAlign w:val="center"/>
          </w:tcPr>
          <w:p>
            <w:pPr>
              <w:rPr>
                <w:rFonts w:cs="宋体"/>
                <w:sz w:val="16"/>
                <w:szCs w:val="16"/>
              </w:rPr>
            </w:pPr>
            <w:r>
              <w:rPr>
                <w:rFonts w:hint="eastAsia" w:cs="宋体"/>
                <w:sz w:val="16"/>
                <w:szCs w:val="16"/>
              </w:rPr>
              <w:t>　</w:t>
            </w:r>
          </w:p>
        </w:tc>
      </w:tr>
      <w:tr>
        <w:tblPrEx>
          <w:tblCellMar>
            <w:top w:w="0" w:type="dxa"/>
            <w:left w:w="0" w:type="dxa"/>
            <w:bottom w:w="0" w:type="dxa"/>
            <w:right w:w="0" w:type="dxa"/>
          </w:tblCellMar>
        </w:tblPrEx>
        <w:trPr>
          <w:trHeight w:val="245" w:hRule="atLeast"/>
        </w:trPr>
        <w:tc>
          <w:tcPr>
            <w:tcW w:w="516" w:type="dxa"/>
            <w:tcBorders>
              <w:top w:val="nil"/>
              <w:left w:val="nil"/>
              <w:bottom w:val="single" w:color="auto" w:sz="8" w:space="0"/>
              <w:right w:val="single" w:color="auto" w:sz="4" w:space="0"/>
            </w:tcBorders>
            <w:vAlign w:val="center"/>
          </w:tcPr>
          <w:p>
            <w:pPr>
              <w:rPr>
                <w:rFonts w:cs="宋体"/>
                <w:sz w:val="16"/>
                <w:szCs w:val="16"/>
              </w:rPr>
            </w:pPr>
            <w:r>
              <w:rPr>
                <w:rFonts w:hint="eastAsia" w:cs="宋体"/>
                <w:sz w:val="16"/>
                <w:szCs w:val="16"/>
              </w:rPr>
              <w:t>　</w:t>
            </w:r>
          </w:p>
        </w:tc>
        <w:tc>
          <w:tcPr>
            <w:tcW w:w="525" w:type="dxa"/>
            <w:tcBorders>
              <w:top w:val="nil"/>
              <w:left w:val="nil"/>
              <w:bottom w:val="single" w:color="auto" w:sz="8" w:space="0"/>
              <w:right w:val="nil"/>
            </w:tcBorders>
            <w:vAlign w:val="center"/>
          </w:tcPr>
          <w:p>
            <w:pPr>
              <w:rPr>
                <w:rFonts w:cs="宋体"/>
                <w:sz w:val="16"/>
                <w:szCs w:val="16"/>
              </w:rPr>
            </w:pPr>
          </w:p>
        </w:tc>
        <w:tc>
          <w:tcPr>
            <w:tcW w:w="465" w:type="dxa"/>
            <w:tcBorders>
              <w:top w:val="nil"/>
              <w:left w:val="nil"/>
              <w:bottom w:val="single" w:color="auto" w:sz="8" w:space="0"/>
              <w:right w:val="nil"/>
            </w:tcBorders>
            <w:vAlign w:val="center"/>
          </w:tcPr>
          <w:p>
            <w:pPr>
              <w:rPr>
                <w:rFonts w:cs="宋体"/>
                <w:sz w:val="16"/>
                <w:szCs w:val="16"/>
              </w:rPr>
            </w:pPr>
          </w:p>
        </w:tc>
        <w:tc>
          <w:tcPr>
            <w:tcW w:w="510" w:type="dxa"/>
            <w:tcBorders>
              <w:top w:val="nil"/>
              <w:left w:val="nil"/>
              <w:bottom w:val="single" w:color="auto" w:sz="8" w:space="0"/>
              <w:right w:val="nil"/>
            </w:tcBorders>
            <w:vAlign w:val="center"/>
          </w:tcPr>
          <w:p>
            <w:pPr>
              <w:rPr>
                <w:rFonts w:cs="宋体"/>
                <w:sz w:val="16"/>
                <w:szCs w:val="16"/>
              </w:rPr>
            </w:pPr>
          </w:p>
        </w:tc>
        <w:tc>
          <w:tcPr>
            <w:tcW w:w="493" w:type="dxa"/>
            <w:tcBorders>
              <w:top w:val="nil"/>
              <w:left w:val="nil"/>
              <w:bottom w:val="single" w:color="auto" w:sz="8" w:space="0"/>
              <w:right w:val="nil"/>
            </w:tcBorders>
            <w:vAlign w:val="center"/>
          </w:tcPr>
          <w:p>
            <w:pPr>
              <w:rPr>
                <w:rFonts w:cs="宋体"/>
                <w:sz w:val="16"/>
                <w:szCs w:val="16"/>
              </w:rPr>
            </w:pPr>
          </w:p>
        </w:tc>
        <w:tc>
          <w:tcPr>
            <w:tcW w:w="688" w:type="dxa"/>
            <w:tcBorders>
              <w:top w:val="nil"/>
              <w:left w:val="nil"/>
              <w:bottom w:val="single" w:color="auto" w:sz="8" w:space="0"/>
              <w:right w:val="nil"/>
            </w:tcBorders>
            <w:vAlign w:val="center"/>
          </w:tcPr>
          <w:p>
            <w:pPr>
              <w:rPr>
                <w:rFonts w:cs="宋体"/>
                <w:sz w:val="16"/>
                <w:szCs w:val="16"/>
              </w:rPr>
            </w:pPr>
          </w:p>
        </w:tc>
        <w:tc>
          <w:tcPr>
            <w:tcW w:w="587" w:type="dxa"/>
            <w:tcBorders>
              <w:top w:val="nil"/>
              <w:left w:val="nil"/>
              <w:bottom w:val="single" w:color="auto" w:sz="8" w:space="0"/>
              <w:right w:val="nil"/>
            </w:tcBorders>
            <w:vAlign w:val="center"/>
          </w:tcPr>
          <w:p>
            <w:pPr>
              <w:rPr>
                <w:rFonts w:cs="宋体"/>
                <w:sz w:val="16"/>
                <w:szCs w:val="16"/>
              </w:rPr>
            </w:pPr>
          </w:p>
        </w:tc>
        <w:tc>
          <w:tcPr>
            <w:tcW w:w="600" w:type="dxa"/>
            <w:tcBorders>
              <w:top w:val="nil"/>
              <w:left w:val="nil"/>
              <w:bottom w:val="single" w:color="auto" w:sz="8" w:space="0"/>
              <w:right w:val="nil"/>
            </w:tcBorders>
            <w:vAlign w:val="center"/>
          </w:tcPr>
          <w:p>
            <w:pPr>
              <w:rPr>
                <w:rFonts w:cs="宋体"/>
                <w:sz w:val="16"/>
                <w:szCs w:val="16"/>
              </w:rPr>
            </w:pPr>
          </w:p>
        </w:tc>
        <w:tc>
          <w:tcPr>
            <w:tcW w:w="771" w:type="dxa"/>
            <w:tcBorders>
              <w:top w:val="nil"/>
              <w:left w:val="nil"/>
              <w:bottom w:val="single" w:color="auto" w:sz="8" w:space="0"/>
              <w:right w:val="nil"/>
            </w:tcBorders>
            <w:vAlign w:val="center"/>
          </w:tcPr>
          <w:p>
            <w:pPr>
              <w:rPr>
                <w:rFonts w:cs="宋体"/>
                <w:sz w:val="16"/>
                <w:szCs w:val="16"/>
              </w:rPr>
            </w:pPr>
          </w:p>
        </w:tc>
        <w:tc>
          <w:tcPr>
            <w:tcW w:w="610" w:type="dxa"/>
            <w:tcBorders>
              <w:top w:val="nil"/>
              <w:left w:val="nil"/>
              <w:bottom w:val="single" w:color="auto" w:sz="8" w:space="0"/>
              <w:right w:val="nil"/>
            </w:tcBorders>
            <w:vAlign w:val="center"/>
          </w:tcPr>
          <w:p>
            <w:pPr>
              <w:rPr>
                <w:rFonts w:cs="宋体"/>
                <w:sz w:val="16"/>
                <w:szCs w:val="16"/>
              </w:rPr>
            </w:pPr>
          </w:p>
        </w:tc>
        <w:tc>
          <w:tcPr>
            <w:tcW w:w="650" w:type="dxa"/>
            <w:tcBorders>
              <w:top w:val="nil"/>
              <w:left w:val="nil"/>
              <w:bottom w:val="single" w:color="auto" w:sz="8" w:space="0"/>
              <w:right w:val="nil"/>
            </w:tcBorders>
            <w:vAlign w:val="center"/>
          </w:tcPr>
          <w:p>
            <w:pPr>
              <w:rPr>
                <w:rFonts w:cs="宋体"/>
                <w:sz w:val="16"/>
                <w:szCs w:val="16"/>
              </w:rPr>
            </w:pPr>
          </w:p>
        </w:tc>
        <w:tc>
          <w:tcPr>
            <w:tcW w:w="700" w:type="dxa"/>
            <w:tcBorders>
              <w:top w:val="nil"/>
              <w:left w:val="nil"/>
              <w:bottom w:val="single" w:color="auto" w:sz="8" w:space="0"/>
              <w:right w:val="nil"/>
            </w:tcBorders>
            <w:vAlign w:val="center"/>
          </w:tcPr>
          <w:p>
            <w:pPr>
              <w:rPr>
                <w:rFonts w:cs="宋体"/>
                <w:sz w:val="16"/>
                <w:szCs w:val="16"/>
              </w:rPr>
            </w:pPr>
          </w:p>
        </w:tc>
        <w:tc>
          <w:tcPr>
            <w:tcW w:w="740" w:type="dxa"/>
            <w:tcBorders>
              <w:top w:val="nil"/>
              <w:left w:val="nil"/>
              <w:bottom w:val="single" w:color="auto" w:sz="8" w:space="0"/>
              <w:right w:val="nil"/>
            </w:tcBorders>
            <w:vAlign w:val="center"/>
          </w:tcPr>
          <w:p>
            <w:pPr>
              <w:rPr>
                <w:rFonts w:cs="宋体"/>
                <w:sz w:val="16"/>
                <w:szCs w:val="16"/>
              </w:rPr>
            </w:pPr>
          </w:p>
        </w:tc>
        <w:tc>
          <w:tcPr>
            <w:tcW w:w="580" w:type="dxa"/>
            <w:tcBorders>
              <w:top w:val="nil"/>
              <w:left w:val="nil"/>
              <w:bottom w:val="single" w:color="auto" w:sz="8" w:space="0"/>
              <w:right w:val="nil"/>
            </w:tcBorders>
            <w:vAlign w:val="center"/>
          </w:tcPr>
          <w:p>
            <w:pPr>
              <w:rPr>
                <w:rFonts w:cs="宋体"/>
                <w:sz w:val="16"/>
                <w:szCs w:val="16"/>
              </w:rPr>
            </w:pPr>
          </w:p>
        </w:tc>
        <w:tc>
          <w:tcPr>
            <w:tcW w:w="344" w:type="dxa"/>
            <w:tcBorders>
              <w:top w:val="nil"/>
              <w:left w:val="nil"/>
              <w:bottom w:val="single" w:color="auto" w:sz="8" w:space="0"/>
              <w:right w:val="nil"/>
            </w:tcBorders>
            <w:vAlign w:val="center"/>
          </w:tcPr>
          <w:p>
            <w:pPr>
              <w:rPr>
                <w:rFonts w:cs="宋体"/>
                <w:sz w:val="16"/>
                <w:szCs w:val="16"/>
              </w:rPr>
            </w:pPr>
          </w:p>
        </w:tc>
      </w:tr>
    </w:tbl>
    <w:p>
      <w:pPr>
        <w:tabs>
          <w:tab w:val="left" w:pos="5115"/>
        </w:tabs>
        <w:spacing w:line="240" w:lineRule="exact"/>
        <w:jc w:val="right"/>
        <w:rPr>
          <w:rFonts w:cs="宋体"/>
          <w:sz w:val="22"/>
          <w:szCs w:val="22"/>
        </w:rPr>
      </w:pPr>
      <w:r>
        <w:rPr>
          <w:rFonts w:cs="宋体"/>
          <w:sz w:val="22"/>
          <w:szCs w:val="22"/>
        </w:rPr>
        <w:t xml:space="preserve">20   </w:t>
      </w:r>
      <w:r>
        <w:rPr>
          <w:rFonts w:hint="eastAsia" w:cs="宋体"/>
          <w:sz w:val="22"/>
          <w:szCs w:val="22"/>
        </w:rPr>
        <w:t>年</w:t>
      </w:r>
    </w:p>
    <w:p>
      <w:pPr>
        <w:tabs>
          <w:tab w:val="left" w:pos="5115"/>
        </w:tabs>
        <w:spacing w:line="240" w:lineRule="exact"/>
        <w:rPr>
          <w:sz w:val="18"/>
          <w:szCs w:val="18"/>
        </w:rPr>
      </w:pPr>
    </w:p>
    <w:p>
      <w:pPr>
        <w:tabs>
          <w:tab w:val="left" w:pos="5115"/>
        </w:tabs>
        <w:spacing w:line="240" w:lineRule="exact"/>
        <w:rPr>
          <w:sz w:val="18"/>
          <w:szCs w:val="18"/>
        </w:rPr>
      </w:pPr>
    </w:p>
    <w:p>
      <w:pPr>
        <w:tabs>
          <w:tab w:val="left" w:pos="5115"/>
        </w:tabs>
        <w:spacing w:line="240" w:lineRule="exact"/>
        <w:rPr>
          <w:sz w:val="18"/>
          <w:szCs w:val="18"/>
          <w:u w:val="single"/>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tabs>
          <w:tab w:val="left" w:pos="5115"/>
        </w:tabs>
        <w:spacing w:line="240" w:lineRule="exact"/>
        <w:rPr>
          <w:color w:val="FF0000"/>
          <w:sz w:val="18"/>
          <w:szCs w:val="18"/>
        </w:rPr>
      </w:pPr>
    </w:p>
    <w:p>
      <w:pPr>
        <w:tabs>
          <w:tab w:val="left" w:pos="5115"/>
        </w:tabs>
        <w:spacing w:line="240" w:lineRule="exact"/>
        <w:ind w:right="-340" w:rightChars="-162"/>
        <w:rPr>
          <w:sz w:val="18"/>
          <w:szCs w:val="18"/>
        </w:rPr>
      </w:pPr>
      <w:r>
        <w:rPr>
          <w:rFonts w:hint="eastAsia"/>
          <w:sz w:val="18"/>
          <w:szCs w:val="18"/>
        </w:rPr>
        <w:t>说明：</w:t>
      </w:r>
      <w:r>
        <w:rPr>
          <w:sz w:val="18"/>
          <w:szCs w:val="18"/>
        </w:rPr>
        <w:t>1.尚未“五证合一”使用统一社会信用代码的企业，可填组织机构代码；</w:t>
      </w:r>
    </w:p>
    <w:p>
      <w:pPr>
        <w:tabs>
          <w:tab w:val="left" w:pos="5115"/>
        </w:tabs>
        <w:spacing w:line="240" w:lineRule="exact"/>
        <w:ind w:right="-340" w:rightChars="-162" w:firstLine="540" w:firstLineChars="300"/>
        <w:rPr>
          <w:rFonts w:ascii="黑体" w:hAnsi="黑体" w:eastAsia="黑体"/>
          <w:sz w:val="32"/>
          <w:szCs w:val="32"/>
        </w:rPr>
      </w:pPr>
      <w:r>
        <w:rPr>
          <w:sz w:val="18"/>
          <w:szCs w:val="18"/>
        </w:rPr>
        <w:t>2.表格中第甲、1、3、4、5栏以下选项填写数字。</w:t>
      </w:r>
      <w:r>
        <w:rPr>
          <w:rFonts w:hint="eastAsia"/>
          <w:b/>
          <w:bCs/>
          <w:sz w:val="18"/>
          <w:szCs w:val="18"/>
        </w:rPr>
        <w:t>第甲栏</w:t>
      </w:r>
      <w:r>
        <w:rPr>
          <w:rFonts w:hint="eastAsia"/>
          <w:sz w:val="18"/>
          <w:szCs w:val="18"/>
        </w:rPr>
        <w:t>：参与本调查的所有劳动者自然排序，由</w:t>
      </w:r>
      <w:r>
        <w:rPr>
          <w:sz w:val="18"/>
          <w:szCs w:val="18"/>
        </w:rPr>
        <w:t>企业</w:t>
      </w:r>
      <w:r>
        <w:rPr>
          <w:rFonts w:hint="eastAsia"/>
          <w:sz w:val="18"/>
          <w:szCs w:val="18"/>
        </w:rPr>
        <w:t>自行顺序编码，</w:t>
      </w:r>
      <w:r>
        <w:rPr>
          <w:sz w:val="18"/>
          <w:szCs w:val="18"/>
        </w:rPr>
        <w:t>不能重复；</w:t>
      </w:r>
      <w:r>
        <w:rPr>
          <w:rFonts w:hint="eastAsia"/>
          <w:b/>
          <w:bCs/>
          <w:sz w:val="18"/>
          <w:szCs w:val="18"/>
        </w:rPr>
        <w:t>第</w:t>
      </w:r>
      <w:r>
        <w:rPr>
          <w:b/>
          <w:bCs/>
          <w:sz w:val="18"/>
          <w:szCs w:val="18"/>
        </w:rPr>
        <w:t>1栏</w:t>
      </w:r>
      <w:r>
        <w:rPr>
          <w:rFonts w:hint="eastAsia"/>
          <w:sz w:val="18"/>
          <w:szCs w:val="18"/>
        </w:rPr>
        <w:t>：</w:t>
      </w:r>
      <w:r>
        <w:rPr>
          <w:sz w:val="18"/>
          <w:szCs w:val="18"/>
        </w:rPr>
        <w:t>1男2女；</w:t>
      </w:r>
      <w:r>
        <w:rPr>
          <w:rFonts w:hint="eastAsia"/>
          <w:b/>
          <w:bCs/>
          <w:sz w:val="18"/>
          <w:szCs w:val="18"/>
        </w:rPr>
        <w:t>第</w:t>
      </w:r>
      <w:r>
        <w:rPr>
          <w:b/>
          <w:bCs/>
          <w:sz w:val="18"/>
          <w:szCs w:val="18"/>
        </w:rPr>
        <w:t>3栏</w:t>
      </w:r>
      <w:r>
        <w:rPr>
          <w:sz w:val="18"/>
          <w:szCs w:val="18"/>
        </w:rPr>
        <w:t>：1研究生（含博士、硕士）2大学本科 3大学专科 4高中、中专或技校 5初中及以下；</w:t>
      </w:r>
      <w:r>
        <w:rPr>
          <w:rFonts w:hint="eastAsia"/>
          <w:b/>
          <w:bCs/>
          <w:sz w:val="18"/>
          <w:szCs w:val="18"/>
        </w:rPr>
        <w:t>第</w:t>
      </w:r>
      <w:r>
        <w:rPr>
          <w:b/>
          <w:bCs/>
          <w:sz w:val="18"/>
          <w:szCs w:val="18"/>
        </w:rPr>
        <w:t>4栏</w:t>
      </w:r>
      <w:r>
        <w:rPr>
          <w:sz w:val="18"/>
          <w:szCs w:val="18"/>
        </w:rPr>
        <w:t>：</w:t>
      </w:r>
      <w:r>
        <w:rPr>
          <w:rFonts w:hint="eastAsia"/>
          <w:sz w:val="18"/>
          <w:szCs w:val="18"/>
        </w:rPr>
        <w:t>按照《中华人民共和国职业分类大典》填写，共七位</w:t>
      </w:r>
      <w:r>
        <w:rPr>
          <w:sz w:val="18"/>
          <w:szCs w:val="18"/>
        </w:rPr>
        <w:t>；</w:t>
      </w:r>
      <w:r>
        <w:rPr>
          <w:rFonts w:hint="eastAsia"/>
          <w:b/>
          <w:bCs/>
          <w:sz w:val="18"/>
          <w:szCs w:val="18"/>
        </w:rPr>
        <w:t>第</w:t>
      </w:r>
      <w:r>
        <w:rPr>
          <w:b/>
          <w:bCs/>
          <w:sz w:val="18"/>
          <w:szCs w:val="18"/>
        </w:rPr>
        <w:t>5栏</w:t>
      </w:r>
      <w:r>
        <w:rPr>
          <w:sz w:val="18"/>
          <w:szCs w:val="18"/>
        </w:rPr>
        <w:t>：</w:t>
      </w:r>
      <w:r>
        <w:rPr>
          <w:rFonts w:hint="eastAsia"/>
          <w:sz w:val="18"/>
          <w:szCs w:val="18"/>
        </w:rPr>
        <w:t>按照</w:t>
      </w:r>
      <w:r>
        <w:rPr>
          <w:sz w:val="18"/>
          <w:szCs w:val="18"/>
        </w:rPr>
        <w:t>《中华人民共和国县以上行政区划代码》填写，共六位。</w:t>
      </w:r>
    </w:p>
    <w:p>
      <w:pPr>
        <w:tabs>
          <w:tab w:val="left" w:pos="5115"/>
        </w:tabs>
        <w:spacing w:line="240" w:lineRule="exact"/>
        <w:ind w:firstLine="450" w:firstLineChars="250"/>
        <w:rPr>
          <w:sz w:val="18"/>
          <w:szCs w:val="18"/>
        </w:rPr>
      </w:pPr>
      <w:r>
        <w:rPr>
          <w:sz w:val="18"/>
          <w:szCs w:val="18"/>
        </w:rPr>
        <w:t>3.审核关系：（9）=（10）+（11）+（12）+（13）+（14）</w:t>
      </w:r>
    </w:p>
    <w:p>
      <w:pPr>
        <w:tabs>
          <w:tab w:val="left" w:pos="5115"/>
        </w:tabs>
        <w:spacing w:line="240" w:lineRule="exact"/>
        <w:ind w:firstLine="450" w:firstLineChars="250"/>
        <w:rPr>
          <w:sz w:val="18"/>
          <w:szCs w:val="18"/>
        </w:rPr>
      </w:pPr>
    </w:p>
    <w:p>
      <w:pPr>
        <w:pStyle w:val="22"/>
        <w:adjustRightInd w:val="0"/>
        <w:snapToGrid w:val="0"/>
        <w:spacing w:after="0" w:line="360" w:lineRule="auto"/>
        <w:ind w:firstLine="600" w:firstLineChars="200"/>
        <w:rPr>
          <w:rFonts w:ascii="仿宋" w:hAnsi="仿宋" w:eastAsia="仿宋" w:cs="仿宋"/>
          <w:sz w:val="30"/>
          <w:szCs w:val="30"/>
        </w:rPr>
      </w:pPr>
      <w:r>
        <w:rPr>
          <w:rFonts w:hint="eastAsia" w:ascii="仿宋" w:hAnsi="仿宋" w:eastAsia="仿宋" w:cs="仿宋"/>
          <w:sz w:val="30"/>
          <w:szCs w:val="30"/>
        </w:rPr>
        <w:t>新就业形态劳动者劳动报酬情况指标填报解释将另行成册。</w:t>
      </w:r>
    </w:p>
    <w:p>
      <w:pPr>
        <w:widowControl/>
        <w:jc w:val="left"/>
        <w:rPr>
          <w:rFonts w:ascii="仿宋" w:hAnsi="仿宋" w:eastAsia="仿宋" w:cs="仿宋"/>
          <w:sz w:val="30"/>
          <w:szCs w:val="30"/>
        </w:rPr>
      </w:pPr>
      <w:r>
        <w:rPr>
          <w:rFonts w:ascii="仿宋" w:hAnsi="仿宋" w:eastAsia="仿宋" w:cs="仿宋"/>
          <w:sz w:val="30"/>
          <w:szCs w:val="30"/>
        </w:rPr>
        <w:br w:type="page"/>
      </w:r>
    </w:p>
    <w:p>
      <w:pPr>
        <w:pStyle w:val="27"/>
        <w:adjustRightInd w:val="0"/>
        <w:snapToGrid w:val="0"/>
        <w:spacing w:before="0" w:after="0" w:line="240" w:lineRule="auto"/>
        <w:ind w:firstLine="0" w:firstLineChars="0"/>
        <w:jc w:val="center"/>
        <w:outlineLvl w:val="1"/>
        <w:rPr>
          <w:rFonts w:ascii="黑体" w:hAnsi="黑体"/>
          <w:b w:val="0"/>
          <w:sz w:val="32"/>
          <w:szCs w:val="32"/>
        </w:rPr>
      </w:pPr>
      <w:bookmarkStart w:id="154" w:name="_Toc93509814"/>
      <w:bookmarkStart w:id="155" w:name="_Toc305917133"/>
      <w:bookmarkStart w:id="156" w:name="_Toc333414112"/>
      <w:bookmarkStart w:id="157" w:name="_Toc386551026"/>
      <w:bookmarkStart w:id="158" w:name="_Toc386552430"/>
      <w:bookmarkStart w:id="159" w:name="_Toc386552338"/>
      <w:r>
        <w:rPr>
          <w:rFonts w:ascii="黑体" w:hAnsi="黑体"/>
          <w:b w:val="0"/>
          <w:sz w:val="32"/>
          <w:szCs w:val="32"/>
        </w:rPr>
        <w:t>第</w:t>
      </w:r>
      <w:r>
        <w:rPr>
          <w:rFonts w:hint="eastAsia" w:ascii="黑体" w:hAnsi="黑体"/>
          <w:b w:val="0"/>
          <w:sz w:val="32"/>
          <w:szCs w:val="32"/>
        </w:rPr>
        <w:t>三</w:t>
      </w:r>
      <w:r>
        <w:rPr>
          <w:rFonts w:ascii="黑体" w:hAnsi="黑体"/>
          <w:b w:val="0"/>
          <w:sz w:val="32"/>
          <w:szCs w:val="32"/>
        </w:rPr>
        <w:t>部分</w:t>
      </w:r>
      <w:r>
        <w:rPr>
          <w:rFonts w:hint="eastAsia" w:ascii="黑体" w:hAnsi="黑体"/>
          <w:b w:val="0"/>
          <w:sz w:val="32"/>
          <w:szCs w:val="32"/>
        </w:rPr>
        <w:t xml:space="preserve"> </w:t>
      </w:r>
      <w:r>
        <w:rPr>
          <w:rFonts w:ascii="黑体" w:hAnsi="黑体"/>
          <w:b w:val="0"/>
          <w:sz w:val="32"/>
          <w:szCs w:val="32"/>
        </w:rPr>
        <w:t xml:space="preserve"> 调查常见问题</w:t>
      </w:r>
      <w:r>
        <w:rPr>
          <w:rFonts w:hint="eastAsia" w:ascii="黑体" w:hAnsi="黑体"/>
          <w:b w:val="0"/>
          <w:sz w:val="32"/>
          <w:szCs w:val="32"/>
        </w:rPr>
        <w:t>及解答</w:t>
      </w:r>
      <w:bookmarkEnd w:id="154"/>
    </w:p>
    <w:p>
      <w:pPr>
        <w:pStyle w:val="27"/>
        <w:adjustRightInd w:val="0"/>
        <w:snapToGrid w:val="0"/>
        <w:spacing w:before="0" w:after="0" w:line="600" w:lineRule="exact"/>
        <w:ind w:firstLine="600"/>
        <w:outlineLvl w:val="1"/>
        <w:rPr>
          <w:rFonts w:ascii="黑体" w:hAnsi="黑体" w:cs="黑体"/>
          <w:b w:val="0"/>
          <w:bCs w:val="0"/>
          <w:sz w:val="30"/>
          <w:szCs w:val="30"/>
          <w:lang w:bidi="en-US"/>
        </w:rPr>
      </w:pPr>
      <w:bookmarkStart w:id="160" w:name="_Toc93509815"/>
      <w:r>
        <w:rPr>
          <w:rFonts w:hint="eastAsia" w:ascii="黑体" w:hAnsi="黑体" w:cs="黑体"/>
          <w:b w:val="0"/>
          <w:bCs w:val="0"/>
          <w:sz w:val="30"/>
          <w:szCs w:val="30"/>
        </w:rPr>
        <w:t>一</w:t>
      </w:r>
      <w:r>
        <w:rPr>
          <w:rFonts w:hint="eastAsia" w:ascii="黑体" w:hAnsi="黑体" w:cs="黑体"/>
          <w:b w:val="0"/>
          <w:bCs w:val="0"/>
          <w:sz w:val="30"/>
          <w:szCs w:val="30"/>
          <w:lang w:bidi="en-US"/>
        </w:rPr>
        <w:t>、填报中的常见问题解答</w:t>
      </w:r>
      <w:bookmarkEnd w:id="160"/>
    </w:p>
    <w:p>
      <w:pPr>
        <w:pStyle w:val="21"/>
        <w:adjustRightInd w:val="0"/>
        <w:snapToGrid w:val="0"/>
        <w:spacing w:after="0" w:line="600" w:lineRule="exact"/>
        <w:ind w:firstLine="600"/>
        <w:rPr>
          <w:rFonts w:ascii="楷体" w:hAnsi="楷体" w:eastAsia="楷体" w:cs="楷体"/>
          <w:b w:val="0"/>
          <w:sz w:val="30"/>
          <w:szCs w:val="30"/>
        </w:rPr>
      </w:pPr>
      <w:bookmarkStart w:id="161" w:name="_Hlk92104577"/>
      <w:r>
        <w:rPr>
          <w:rFonts w:hint="eastAsia" w:ascii="楷体" w:hAnsi="楷体" w:eastAsia="楷体" w:cs="楷体"/>
          <w:b w:val="0"/>
          <w:sz w:val="30"/>
          <w:szCs w:val="30"/>
        </w:rPr>
        <w:t>（一）企业集团或总部如何填写《基本情况》《人工成本情况表》和《劳动者工资报酬情况表》？</w:t>
      </w:r>
    </w:p>
    <w:p>
      <w:pPr>
        <w:pStyle w:val="21"/>
        <w:adjustRightInd w:val="0"/>
        <w:snapToGrid w:val="0"/>
        <w:spacing w:after="0" w:line="600" w:lineRule="exact"/>
        <w:ind w:firstLine="600"/>
        <w:rPr>
          <w:rFonts w:ascii="仿宋" w:hAnsi="仿宋" w:eastAsia="仿宋" w:cs="仿宋"/>
          <w:b w:val="0"/>
          <w:bCs/>
          <w:sz w:val="30"/>
          <w:szCs w:val="30"/>
          <w:lang w:val="zh-CN"/>
        </w:rPr>
      </w:pPr>
      <w:r>
        <w:rPr>
          <w:rFonts w:hint="eastAsia" w:ascii="仿宋" w:hAnsi="仿宋" w:eastAsia="仿宋" w:cs="楷体"/>
          <w:b w:val="0"/>
          <w:sz w:val="30"/>
          <w:szCs w:val="30"/>
        </w:rPr>
        <w:t>答：</w:t>
      </w:r>
      <w:r>
        <w:rPr>
          <w:rFonts w:hint="eastAsia" w:ascii="仿宋" w:hAnsi="仿宋" w:eastAsia="仿宋" w:cs="仿宋"/>
          <w:b w:val="0"/>
          <w:bCs/>
          <w:sz w:val="30"/>
          <w:szCs w:val="30"/>
          <w:lang w:val="zh-CN"/>
        </w:rPr>
        <w:t>企业集团或总部，应当按照集团及所属各单位的从业人员（包括在岗职工、劳务派遣人员）的人数总和，填写《企业基本情况》的人数。按照集团及所属各单位经济效益和人工成本总和，填写</w:t>
      </w:r>
      <w:r>
        <w:rPr>
          <w:rFonts w:hint="eastAsia" w:ascii="仿宋" w:hAnsi="仿宋" w:eastAsia="仿宋" w:cs="楷体"/>
          <w:b w:val="0"/>
          <w:sz w:val="30"/>
          <w:szCs w:val="30"/>
        </w:rPr>
        <w:t>《人工成本情况表》</w:t>
      </w:r>
      <w:r>
        <w:rPr>
          <w:rFonts w:hint="eastAsia" w:ascii="仿宋" w:hAnsi="仿宋" w:eastAsia="仿宋" w:cs="仿宋"/>
          <w:b w:val="0"/>
          <w:bCs/>
          <w:sz w:val="30"/>
          <w:szCs w:val="30"/>
          <w:lang w:val="zh-CN"/>
        </w:rPr>
        <w:t>。按照实际情况，</w:t>
      </w:r>
      <w:bookmarkEnd w:id="161"/>
      <w:r>
        <w:rPr>
          <w:rFonts w:hint="eastAsia" w:ascii="仿宋" w:hAnsi="仿宋" w:eastAsia="仿宋" w:cs="仿宋"/>
          <w:b w:val="0"/>
          <w:bCs/>
          <w:sz w:val="30"/>
          <w:szCs w:val="30"/>
          <w:lang w:val="zh-CN"/>
        </w:rPr>
        <w:t>填写由本级考核、核算并支付工资的劳动者个人信息和工资报酬。</w:t>
      </w:r>
    </w:p>
    <w:p>
      <w:pPr>
        <w:pStyle w:val="21"/>
        <w:adjustRightInd w:val="0"/>
        <w:snapToGrid w:val="0"/>
        <w:spacing w:after="0" w:line="600" w:lineRule="exact"/>
        <w:ind w:firstLine="600"/>
        <w:rPr>
          <w:rFonts w:ascii="楷体" w:hAnsi="楷体" w:eastAsia="楷体" w:cs="楷体"/>
          <w:sz w:val="30"/>
          <w:szCs w:val="30"/>
        </w:rPr>
      </w:pPr>
      <w:r>
        <w:rPr>
          <w:rFonts w:hint="eastAsia" w:ascii="楷体" w:hAnsi="楷体" w:eastAsia="楷体" w:cs="楷体"/>
          <w:b w:val="0"/>
          <w:sz w:val="30"/>
          <w:szCs w:val="30"/>
        </w:rPr>
        <w:t>（二）企业分支机构如何填写？</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首先，没有独立法人资格的企业分支机构不参加本调查。参加本调查的有法人资格的分公司，如出现被调查企业的职工工资水平和人工成本均由该企业总部集中掌握的情况，被调查企业应当争取总部支持，按规定填报《基本情况》《人工成本情况表》和《劳动者工资报酬情况表》3张调查表，或由该分支机构的上级并且有独立核算权的机构参加调查。</w:t>
      </w:r>
    </w:p>
    <w:p>
      <w:pPr>
        <w:pStyle w:val="21"/>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w:t>
      </w:r>
      <w:r>
        <w:rPr>
          <w:rFonts w:hint="eastAsia" w:ascii="楷体" w:hAnsi="楷体" w:eastAsia="楷体" w:cs="楷体"/>
          <w:b w:val="0"/>
          <w:sz w:val="30"/>
          <w:szCs w:val="30"/>
          <w:lang w:val="zh-CN"/>
        </w:rPr>
        <w:t>三</w:t>
      </w:r>
      <w:r>
        <w:rPr>
          <w:rFonts w:hint="eastAsia" w:ascii="楷体" w:hAnsi="楷体" w:eastAsia="楷体" w:cs="楷体"/>
          <w:b w:val="0"/>
          <w:sz w:val="30"/>
          <w:szCs w:val="30"/>
        </w:rPr>
        <w:t>）职工借调到外单位应如何统计？</w:t>
      </w:r>
    </w:p>
    <w:p>
      <w:pPr>
        <w:pStyle w:val="21"/>
        <w:adjustRightInd w:val="0"/>
        <w:snapToGrid w:val="0"/>
        <w:spacing w:after="0" w:line="600" w:lineRule="exact"/>
        <w:ind w:firstLine="601"/>
        <w:rPr>
          <w:rFonts w:ascii="仿宋" w:hAnsi="仿宋" w:eastAsia="仿宋" w:cs="仿宋"/>
          <w:b w:val="0"/>
          <w:sz w:val="30"/>
          <w:szCs w:val="30"/>
          <w:lang w:val="zh-CN"/>
        </w:rPr>
      </w:pPr>
      <w:r>
        <w:rPr>
          <w:rFonts w:hint="eastAsia" w:ascii="仿宋" w:hAnsi="仿宋" w:eastAsia="仿宋" w:cs="仿宋"/>
          <w:b w:val="0"/>
          <w:sz w:val="30"/>
          <w:szCs w:val="30"/>
          <w:lang w:val="zh-CN"/>
        </w:rPr>
        <w:t>答：</w:t>
      </w:r>
      <w:r>
        <w:rPr>
          <w:rFonts w:hint="eastAsia" w:ascii="仿宋" w:hAnsi="仿宋" w:eastAsia="仿宋" w:cs="仿宋"/>
          <w:b w:val="0"/>
          <w:sz w:val="30"/>
          <w:szCs w:val="30"/>
        </w:rPr>
        <w:t>1.</w:t>
      </w:r>
      <w:r>
        <w:rPr>
          <w:rFonts w:hint="eastAsia" w:ascii="仿宋" w:hAnsi="仿宋" w:eastAsia="仿宋" w:cs="仿宋"/>
          <w:b w:val="0"/>
          <w:sz w:val="30"/>
          <w:szCs w:val="30"/>
          <w:lang w:val="zh-CN"/>
        </w:rPr>
        <w:t>首先应当由完全支付工资的单位统计人数和工资总额。</w:t>
      </w:r>
      <w:r>
        <w:rPr>
          <w:rFonts w:hint="eastAsia" w:ascii="仿宋" w:hAnsi="仿宋" w:eastAsia="仿宋" w:cs="仿宋"/>
          <w:b w:val="0"/>
          <w:sz w:val="30"/>
          <w:szCs w:val="30"/>
        </w:rPr>
        <w:t>2.</w:t>
      </w:r>
      <w:r>
        <w:rPr>
          <w:rFonts w:hint="eastAsia" w:ascii="仿宋" w:hAnsi="仿宋" w:eastAsia="仿宋" w:cs="仿宋"/>
          <w:b w:val="0"/>
          <w:sz w:val="30"/>
          <w:szCs w:val="30"/>
          <w:lang w:val="zh-CN"/>
        </w:rPr>
        <w:t>若双方均发工资的，由借出单位统计为在岗职工，发放的工资纳入在岗职工工资总额；由借用单位统计为其他从业人员，工资作为其他从业人员工资，不纳入在岗职工工资总额。</w:t>
      </w:r>
    </w:p>
    <w:p>
      <w:pPr>
        <w:pStyle w:val="21"/>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w:t>
      </w:r>
      <w:r>
        <w:rPr>
          <w:rFonts w:hint="eastAsia" w:ascii="楷体" w:hAnsi="楷体" w:eastAsia="楷体" w:cs="楷体"/>
          <w:b w:val="0"/>
          <w:sz w:val="30"/>
          <w:szCs w:val="30"/>
          <w:lang w:val="zh-CN"/>
        </w:rPr>
        <w:t>四</w:t>
      </w:r>
      <w:r>
        <w:rPr>
          <w:rFonts w:hint="eastAsia" w:ascii="楷体" w:hAnsi="楷体" w:eastAsia="楷体" w:cs="楷体"/>
          <w:b w:val="0"/>
          <w:sz w:val="30"/>
          <w:szCs w:val="30"/>
        </w:rPr>
        <w:t>）企业人工成本分项科目如何区分？</w:t>
      </w:r>
    </w:p>
    <w:p>
      <w:pPr>
        <w:pStyle w:val="15"/>
        <w:shd w:val="clear" w:color="auto" w:fill="FFFFFF"/>
        <w:adjustRightInd w:val="0"/>
        <w:snapToGrid w:val="0"/>
        <w:spacing w:beforeAutospacing="0" w:afterAutospacing="0" w:line="600" w:lineRule="exact"/>
        <w:ind w:firstLine="600" w:firstLineChars="200"/>
        <w:rPr>
          <w:rFonts w:ascii="仿宋" w:hAnsi="仿宋" w:eastAsia="仿宋" w:cs="仿宋"/>
          <w:sz w:val="30"/>
          <w:szCs w:val="30"/>
          <w:lang w:val="zh-CN"/>
        </w:rPr>
      </w:pPr>
      <w:r>
        <w:rPr>
          <w:rFonts w:hint="eastAsia" w:ascii="仿宋" w:hAnsi="仿宋" w:eastAsia="仿宋" w:cs="仿宋"/>
          <w:sz w:val="30"/>
          <w:szCs w:val="30"/>
          <w:lang w:val="zh-CN"/>
        </w:rPr>
        <w:t>答：建议与企业财会人员协商，按国家财务规定填写。总的原则是同一企业内部工资、福利、保险费用、劳动保护、住房费用统计不要有重复。另外有容易出错的几个点提示一下：</w:t>
      </w:r>
    </w:p>
    <w:p>
      <w:pPr>
        <w:pStyle w:val="15"/>
        <w:shd w:val="clear" w:color="auto" w:fill="FFFFFF"/>
        <w:adjustRightInd w:val="0"/>
        <w:snapToGrid w:val="0"/>
        <w:spacing w:beforeAutospacing="0" w:afterAutospacing="0" w:line="600" w:lineRule="exact"/>
        <w:ind w:firstLine="602" w:firstLineChars="200"/>
        <w:rPr>
          <w:rFonts w:ascii="仿宋" w:hAnsi="仿宋" w:eastAsia="仿宋" w:cs="仿宋"/>
          <w:sz w:val="30"/>
          <w:szCs w:val="30"/>
          <w:lang w:val="zh-CN"/>
        </w:rPr>
      </w:pPr>
      <w:r>
        <w:rPr>
          <w:rFonts w:hint="eastAsia" w:ascii="仿宋" w:hAnsi="仿宋" w:eastAsia="仿宋" w:cs="仿宋"/>
          <w:b/>
          <w:bCs/>
          <w:sz w:val="30"/>
          <w:szCs w:val="30"/>
          <w:lang w:val="zh-CN"/>
        </w:rPr>
        <w:t>一是</w:t>
      </w:r>
      <w:r>
        <w:rPr>
          <w:rFonts w:hint="eastAsia" w:ascii="仿宋" w:hAnsi="仿宋" w:eastAsia="仿宋" w:cs="仿宋"/>
          <w:sz w:val="30"/>
          <w:szCs w:val="30"/>
          <w:lang w:val="zh-CN"/>
        </w:rPr>
        <w:t>按照财务制度规定，医护、职工浴室、理发室、幼儿园、托儿所人员的工资在福利费中列支；</w:t>
      </w:r>
    </w:p>
    <w:p>
      <w:pPr>
        <w:pStyle w:val="15"/>
        <w:shd w:val="clear" w:color="auto" w:fill="FFFFFF"/>
        <w:adjustRightInd w:val="0"/>
        <w:snapToGrid w:val="0"/>
        <w:spacing w:beforeAutospacing="0" w:afterAutospacing="0" w:line="600" w:lineRule="exact"/>
        <w:ind w:firstLine="602" w:firstLineChars="200"/>
        <w:rPr>
          <w:rFonts w:ascii="仿宋" w:hAnsi="仿宋" w:eastAsia="仿宋" w:cs="仿宋"/>
          <w:sz w:val="30"/>
          <w:szCs w:val="30"/>
          <w:lang w:val="zh-CN"/>
        </w:rPr>
      </w:pPr>
      <w:bookmarkStart w:id="162" w:name="_Hlk92293669"/>
      <w:r>
        <w:rPr>
          <w:rFonts w:hint="eastAsia" w:ascii="仿宋" w:hAnsi="仿宋" w:eastAsia="仿宋" w:cs="仿宋"/>
          <w:b/>
          <w:bCs/>
          <w:sz w:val="30"/>
          <w:szCs w:val="30"/>
          <w:lang w:val="zh-CN"/>
        </w:rPr>
        <w:t>二是</w:t>
      </w:r>
      <w:r>
        <w:rPr>
          <w:rFonts w:ascii="仿宋" w:hAnsi="仿宋" w:eastAsia="仿宋" w:cs="仿宋"/>
          <w:sz w:val="30"/>
          <w:szCs w:val="30"/>
          <w:lang w:val="zh-CN"/>
        </w:rPr>
        <w:t>单位一次性发放或按月发放的旅游费、保险费、餐费、过节费、劳务费等，只要属于劳动报酬性质并且现行统计制度未明确规定不统计为工资的</w:t>
      </w:r>
      <w:r>
        <w:rPr>
          <w:rFonts w:hint="eastAsia" w:ascii="仿宋" w:hAnsi="仿宋" w:eastAsia="仿宋" w:cs="仿宋"/>
          <w:sz w:val="30"/>
          <w:szCs w:val="30"/>
          <w:lang w:val="zh-CN"/>
        </w:rPr>
        <w:t>，</w:t>
      </w:r>
      <w:r>
        <w:rPr>
          <w:rFonts w:ascii="仿宋" w:hAnsi="仿宋" w:eastAsia="仿宋" w:cs="仿宋"/>
          <w:sz w:val="30"/>
          <w:szCs w:val="30"/>
          <w:lang w:val="zh-CN"/>
        </w:rPr>
        <w:t>都应作为工资统计</w:t>
      </w:r>
      <w:r>
        <w:rPr>
          <w:rFonts w:hint="eastAsia" w:ascii="仿宋" w:hAnsi="仿宋" w:eastAsia="仿宋" w:cs="仿宋"/>
          <w:sz w:val="30"/>
          <w:szCs w:val="30"/>
          <w:lang w:val="zh-CN"/>
        </w:rPr>
        <w:t>（但在</w:t>
      </w:r>
      <w:r>
        <w:rPr>
          <w:rFonts w:ascii="仿宋" w:hAnsi="仿宋" w:eastAsia="仿宋" w:cs="仿宋"/>
          <w:sz w:val="30"/>
          <w:szCs w:val="30"/>
          <w:lang w:val="zh-CN"/>
        </w:rPr>
        <w:t>工会经费</w:t>
      </w:r>
      <w:r>
        <w:rPr>
          <w:rFonts w:hint="eastAsia" w:ascii="仿宋" w:hAnsi="仿宋" w:eastAsia="仿宋" w:cs="仿宋"/>
          <w:sz w:val="30"/>
          <w:szCs w:val="30"/>
          <w:lang w:val="zh-CN"/>
        </w:rPr>
        <w:t>中</w:t>
      </w:r>
      <w:r>
        <w:rPr>
          <w:rFonts w:ascii="仿宋" w:hAnsi="仿宋" w:eastAsia="仿宋" w:cs="仿宋"/>
          <w:sz w:val="30"/>
          <w:szCs w:val="30"/>
          <w:lang w:val="zh-CN"/>
        </w:rPr>
        <w:t>开支</w:t>
      </w:r>
      <w:r>
        <w:rPr>
          <w:rFonts w:hint="eastAsia" w:ascii="仿宋" w:hAnsi="仿宋" w:eastAsia="仿宋" w:cs="仿宋"/>
          <w:sz w:val="30"/>
          <w:szCs w:val="30"/>
          <w:lang w:val="zh-CN"/>
        </w:rPr>
        <w:t>的</w:t>
      </w:r>
      <w:r>
        <w:rPr>
          <w:rFonts w:ascii="仿宋" w:hAnsi="仿宋" w:eastAsia="仿宋" w:cs="仿宋"/>
          <w:sz w:val="30"/>
          <w:szCs w:val="30"/>
          <w:lang w:val="zh-CN"/>
        </w:rPr>
        <w:t>不统计</w:t>
      </w:r>
      <w:r>
        <w:rPr>
          <w:rFonts w:hint="eastAsia" w:ascii="仿宋" w:hAnsi="仿宋" w:eastAsia="仿宋" w:cs="仿宋"/>
          <w:sz w:val="30"/>
          <w:szCs w:val="30"/>
          <w:lang w:val="zh-CN"/>
        </w:rPr>
        <w:t>）；</w:t>
      </w:r>
    </w:p>
    <w:bookmarkEnd w:id="162"/>
    <w:p>
      <w:pPr>
        <w:pStyle w:val="15"/>
        <w:shd w:val="clear" w:color="auto" w:fill="FFFFFF"/>
        <w:adjustRightInd w:val="0"/>
        <w:snapToGrid w:val="0"/>
        <w:spacing w:beforeAutospacing="0" w:afterAutospacing="0" w:line="600" w:lineRule="exact"/>
        <w:ind w:firstLine="602" w:firstLineChars="200"/>
        <w:rPr>
          <w:rFonts w:ascii="仿宋" w:hAnsi="仿宋" w:eastAsia="仿宋" w:cs="仿宋"/>
          <w:sz w:val="30"/>
          <w:szCs w:val="30"/>
          <w:lang w:val="zh-CN"/>
        </w:rPr>
      </w:pPr>
      <w:r>
        <w:rPr>
          <w:rFonts w:hint="eastAsia" w:ascii="仿宋" w:hAnsi="仿宋" w:eastAsia="仿宋" w:cs="仿宋"/>
          <w:b/>
          <w:bCs/>
          <w:sz w:val="30"/>
          <w:szCs w:val="30"/>
          <w:lang w:val="zh-CN"/>
        </w:rPr>
        <w:t>三是</w:t>
      </w:r>
      <w:r>
        <w:rPr>
          <w:rFonts w:ascii="仿宋" w:hAnsi="仿宋" w:eastAsia="仿宋" w:cs="仿宋"/>
          <w:sz w:val="30"/>
          <w:szCs w:val="30"/>
          <w:lang w:val="zh-CN"/>
        </w:rPr>
        <w:t>单位为职工缴纳的补充养老保险和补充医疗保险</w:t>
      </w:r>
      <w:r>
        <w:rPr>
          <w:rFonts w:hint="eastAsia" w:ascii="仿宋" w:hAnsi="仿宋" w:eastAsia="仿宋" w:cs="仿宋"/>
          <w:sz w:val="30"/>
          <w:szCs w:val="30"/>
          <w:lang w:val="zh-CN"/>
        </w:rPr>
        <w:t>应纳入保险费用统计，</w:t>
      </w:r>
      <w:r>
        <w:rPr>
          <w:rFonts w:ascii="仿宋" w:hAnsi="仿宋" w:eastAsia="仿宋" w:cs="仿宋"/>
          <w:sz w:val="30"/>
          <w:szCs w:val="30"/>
          <w:lang w:val="zh-CN"/>
        </w:rPr>
        <w:t>其他各种商业性保险其性质为劳动报酬，应计入工资</w:t>
      </w:r>
      <w:r>
        <w:rPr>
          <w:rFonts w:hint="eastAsia" w:ascii="仿宋" w:hAnsi="仿宋" w:eastAsia="仿宋" w:cs="仿宋"/>
          <w:sz w:val="30"/>
          <w:szCs w:val="30"/>
          <w:lang w:val="zh-CN"/>
        </w:rPr>
        <w:t>总额</w:t>
      </w:r>
      <w:r>
        <w:rPr>
          <w:rFonts w:ascii="仿宋" w:hAnsi="仿宋" w:eastAsia="仿宋" w:cs="仿宋"/>
          <w:sz w:val="30"/>
          <w:szCs w:val="30"/>
          <w:lang w:val="zh-CN"/>
        </w:rPr>
        <w:t>统计。</w:t>
      </w:r>
    </w:p>
    <w:p>
      <w:pPr>
        <w:pStyle w:val="21"/>
        <w:adjustRightInd w:val="0"/>
        <w:snapToGrid w:val="0"/>
        <w:spacing w:after="0" w:line="600" w:lineRule="exact"/>
        <w:ind w:firstLine="600"/>
        <w:rPr>
          <w:rFonts w:ascii="楷体" w:hAnsi="楷体" w:eastAsia="楷体" w:cs="楷体"/>
          <w:b w:val="0"/>
          <w:sz w:val="30"/>
          <w:szCs w:val="30"/>
        </w:rPr>
      </w:pPr>
      <w:r>
        <w:rPr>
          <w:rFonts w:hint="eastAsia" w:ascii="楷体" w:hAnsi="楷体" w:eastAsia="楷体" w:cs="楷体"/>
          <w:b w:val="0"/>
          <w:sz w:val="30"/>
          <w:szCs w:val="30"/>
        </w:rPr>
        <w:t xml:space="preserve">（五）劳务派遣人员的人数如何统计填写？ </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答：总体按照“谁用工谁统计”原则处理。即在填写《企业基本信息表》当中的从业人员平均人数和劳务派遣用工人数时：</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对于用工企业，无论是劳务派遣人员还是非劳务派遣人员，只要在本企业工作，无论是否由其直接发放工资，均计入第一张表的“从业人员平均人数”中。劳务派遣人员的认定，必须符合指标解释中的三项标准；</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对于参加调查的劳务派遣企业，本单位的“从业人员平均数”只填写在本企业实际工作的人员，不统计派遣到其他单位的人员人数。</w:t>
      </w:r>
    </w:p>
    <w:p>
      <w:pPr>
        <w:pStyle w:val="21"/>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（六）劳务派遣人员工资总额如何填写？</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答：总体也是按照“谁用工谁统计”原则处理。即在填写《企业人工成本调查表》当中的从业人员工资总额和劳务派遣人员工资总额时：</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企业使用劳务派遣工的，不管是由用工企业直接向劳务派遣人员支付工资，还是将劳务派遣人员全部工资支付给劳务派遣机构，再由劳务派遣机构向劳务派遣人员直接发放，其工资总额都在用工企业统计，并纳入“劳务派遣人员工资总额”。支付给劳务派遣公司的管理费，计入“其他人工成本”。</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参加调查</w:t>
      </w:r>
      <w:r>
        <w:rPr>
          <w:rFonts w:hint="eastAsia" w:ascii="仿宋" w:hAnsi="仿宋" w:eastAsia="仿宋" w:cs="仿宋"/>
          <w:sz w:val="30"/>
          <w:szCs w:val="30"/>
        </w:rPr>
        <w:t>的</w:t>
      </w:r>
      <w:r>
        <w:rPr>
          <w:rFonts w:hint="eastAsia" w:ascii="仿宋" w:hAnsi="仿宋" w:eastAsia="仿宋" w:cs="仿宋"/>
          <w:sz w:val="30"/>
          <w:szCs w:val="30"/>
          <w:lang w:val="zh-CN"/>
        </w:rPr>
        <w:t>劳务派遣企业，本单位的“从业人员工资总额”只包括在本企业实际工作人员的工资总额，不包括派遣到其他单位人员的工资总额。</w:t>
      </w:r>
    </w:p>
    <w:p>
      <w:pPr>
        <w:pStyle w:val="21"/>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（六）劳动者工资报酬表中如何填报劳务派遣人员工资？</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答：总体按照“谁发（负担）工资谁填写”原则处理。即：</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lang w:val="zh-CN"/>
        </w:rPr>
        <w:t>用工企业直接向劳务派遣人员支付工资的，需要在本单位的劳动者调查表中填写劳务派遣人员的工资报酬情况；如果用工单位将劳务派遣人员全部工资支付给劳务派遣机构，再由劳务派遣机构向劳务派遣人员直接发放的，则劳务派遣机构负责在本单位（劳务派遣机构）的劳动者调查表中填写劳务派遣人员的工资报酬情况。</w:t>
      </w:r>
    </w:p>
    <w:p>
      <w:pPr>
        <w:pStyle w:val="21"/>
        <w:adjustRightInd w:val="0"/>
        <w:snapToGrid w:val="0"/>
        <w:spacing w:after="0" w:line="600" w:lineRule="exact"/>
        <w:ind w:firstLine="602"/>
        <w:rPr>
          <w:rFonts w:ascii="楷体" w:hAnsi="楷体" w:eastAsia="楷体" w:cs="楷体"/>
          <w:sz w:val="30"/>
          <w:szCs w:val="30"/>
        </w:rPr>
      </w:pPr>
      <w:r>
        <w:rPr>
          <w:rFonts w:hint="eastAsia" w:ascii="楷体" w:hAnsi="楷体" w:eastAsia="楷体" w:cs="楷体"/>
          <w:b w:val="0"/>
          <w:sz w:val="30"/>
          <w:szCs w:val="30"/>
        </w:rPr>
        <w:t>（七）如何根据被调查者在本企业的现有岗位名称转换并填写职业？</w:t>
      </w: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bookmarkStart w:id="163" w:name="_Toc93509816"/>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可以使用“模糊查询法”转换</w:t>
      </w: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被调查者在本企业的岗位名称或惯用工种名称要按照“模糊查询法”转换为规范的职业和职业分类代码。具体方法是：企业用户使用《企业从业人员工资报酬情况》模板批量填报职工信息时，可在“职业”单元格内键入</w:t>
      </w:r>
      <w:r>
        <w:rPr>
          <w:rFonts w:hint="eastAsia" w:ascii="仿宋" w:hAnsi="仿宋" w:eastAsia="仿宋" w:cs="仿宋"/>
          <w:b/>
          <w:bCs/>
          <w:color w:val="C00000"/>
          <w:kern w:val="0"/>
          <w:sz w:val="30"/>
          <w:szCs w:val="30"/>
        </w:rPr>
        <w:t>现有岗位名称全称或关键词，</w:t>
      </w:r>
      <w:r>
        <w:rPr>
          <w:rFonts w:hint="eastAsia" w:ascii="仿宋" w:hAnsi="仿宋" w:eastAsia="仿宋" w:cs="仿宋"/>
          <w:color w:val="000000" w:themeColor="text1"/>
          <w:kern w:val="0"/>
          <w:sz w:val="30"/>
          <w:szCs w:val="30"/>
          <w14:textFill>
            <w14:solidFill>
              <w14:schemeClr w14:val="tx1"/>
            </w14:solidFill>
          </w14:textFill>
        </w:rPr>
        <w:t>快速查找与其实际工作内容最为接近的职业小类或细类；找到对应职业后，直接选择点击，即可自动填充到职业小类或细类。</w:t>
      </w:r>
    </w:p>
    <w:p>
      <w:pPr>
        <w:widowControl/>
        <w:autoSpaceDE w:val="0"/>
        <w:autoSpaceDN w:val="0"/>
        <w:adjustRightInd w:val="0"/>
        <w:snapToGrid w:val="0"/>
        <w:spacing w:line="600" w:lineRule="exact"/>
        <w:ind w:firstLine="602" w:firstLineChars="200"/>
        <w:rPr>
          <w:rFonts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注意以下两点：</w:t>
      </w: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一是企业用户下载《企业从业人员工资报酬情况》模板后，需要用WPS表格（Microsoft Office Excel不支持）打开，方能使用职业模糊查询功能。</w:t>
      </w: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二是</w:t>
      </w:r>
      <w:r>
        <w:rPr>
          <w:rFonts w:hint="eastAsia" w:ascii="仿宋" w:hAnsi="仿宋" w:eastAsia="仿宋" w:cs="仿宋"/>
          <w:b/>
          <w:bCs/>
          <w:color w:val="C00000"/>
          <w:kern w:val="0"/>
          <w:sz w:val="30"/>
          <w:szCs w:val="30"/>
        </w:rPr>
        <w:t>不要使用复制粘贴功能</w:t>
      </w:r>
      <w:r>
        <w:rPr>
          <w:rFonts w:hint="eastAsia" w:ascii="仿宋" w:hAnsi="仿宋" w:eastAsia="仿宋" w:cs="仿宋"/>
          <w:color w:val="000000" w:themeColor="text1"/>
          <w:kern w:val="0"/>
          <w:sz w:val="30"/>
          <w:szCs w:val="30"/>
          <w14:textFill>
            <w14:solidFill>
              <w14:schemeClr w14:val="tx1"/>
            </w14:solidFill>
          </w14:textFill>
        </w:rPr>
        <w:t>批量粘贴职工信息，否则会覆盖模板中已经设置的功能和校验条件，批量上传系统后如果逻辑条件审核不被通过，需要重新填写。</w:t>
      </w: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w:t>
      </w:r>
      <w:r>
        <w:rPr>
          <w:rFonts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kern w:val="0"/>
          <w:sz w:val="30"/>
          <w:szCs w:val="30"/>
          <w14:textFill>
            <w14:solidFill>
              <w14:schemeClr w14:val="tx1"/>
            </w14:solidFill>
          </w14:textFill>
        </w:rPr>
        <w:t>可以借助技能人才评价工作网查询</w:t>
      </w: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进入技能人才评价工作网（</w:t>
      </w:r>
      <w:r>
        <w:fldChar w:fldCharType="begin"/>
      </w:r>
      <w:r>
        <w:instrText xml:space="preserve"> HYPERLINK "http://www.osta.org.cn/" </w:instrText>
      </w:r>
      <w:r>
        <w:fldChar w:fldCharType="separate"/>
      </w:r>
      <w:r>
        <w:rPr>
          <w:rFonts w:hint="eastAsia" w:ascii="仿宋" w:hAnsi="仿宋" w:eastAsia="仿宋" w:cs="仿宋"/>
          <w:color w:val="0000FF"/>
          <w:kern w:val="0"/>
          <w:sz w:val="30"/>
          <w:szCs w:val="30"/>
          <w:u w:val="single"/>
        </w:rPr>
        <w:t>http://www.osta.org.cn/</w:t>
      </w:r>
      <w:r>
        <w:rPr>
          <w:rFonts w:hint="eastAsia" w:ascii="仿宋" w:hAnsi="仿宋" w:eastAsia="仿宋" w:cs="仿宋"/>
          <w:color w:val="0000FF"/>
          <w:kern w:val="0"/>
          <w:sz w:val="30"/>
          <w:szCs w:val="30"/>
          <w:u w:val="single"/>
        </w:rPr>
        <w:fldChar w:fldCharType="end"/>
      </w:r>
      <w:r>
        <w:rPr>
          <w:rFonts w:hint="eastAsia" w:ascii="仿宋" w:hAnsi="仿宋" w:eastAsia="仿宋" w:cs="仿宋"/>
          <w:color w:val="000000" w:themeColor="text1"/>
          <w:kern w:val="0"/>
          <w:sz w:val="30"/>
          <w:szCs w:val="30"/>
          <w14:textFill>
            <w14:solidFill>
              <w14:schemeClr w14:val="tx1"/>
            </w14:solidFill>
          </w14:textFill>
        </w:rPr>
        <w:t>）主业后，点击进入职业分类系统，再按照职业大类、中类、小类、细类的顺序逐层向下，查看职业细类中包括的具体工种。</w:t>
      </w:r>
    </w:p>
    <w:p>
      <w:pPr>
        <w:widowControl/>
        <w:autoSpaceDE w:val="0"/>
        <w:autoSpaceDN w:val="0"/>
        <w:adjustRightInd w:val="0"/>
        <w:snapToGrid w:val="0"/>
        <w:spacing w:line="600" w:lineRule="exact"/>
        <w:ind w:firstLine="420" w:firstLineChars="200"/>
        <w:rPr>
          <w:rFonts w:ascii="仿宋" w:hAnsi="仿宋" w:eastAsia="仿宋" w:cs="仿宋"/>
          <w:color w:val="000000" w:themeColor="text1"/>
          <w:kern w:val="0"/>
          <w:sz w:val="30"/>
          <w:szCs w:val="30"/>
          <w14:textFill>
            <w14:solidFill>
              <w14:schemeClr w14:val="tx1"/>
            </w14:solidFill>
          </w14:textFill>
        </w:rPr>
      </w:pPr>
      <w:ins w:id="0" w:author="wang hong" w:date="2022-01-21T16:10:00Z">
        <w:r>
          <w:rPr/>
          <w:drawing>
            <wp:anchor distT="0" distB="0" distL="114300" distR="114300" simplePos="0" relativeHeight="251659264" behindDoc="1" locked="0" layoutInCell="1" allowOverlap="1">
              <wp:simplePos x="0" y="0"/>
              <wp:positionH relativeFrom="column">
                <wp:posOffset>429260</wp:posOffset>
              </wp:positionH>
              <wp:positionV relativeFrom="paragraph">
                <wp:posOffset>30480</wp:posOffset>
              </wp:positionV>
              <wp:extent cx="4525010" cy="2517775"/>
              <wp:effectExtent l="0" t="0" r="889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extLst>
                          <a:ext uri="{28A0092B-C50C-407E-A947-70E740481C1C}">
                            <a14:useLocalDpi xmlns:a14="http://schemas.microsoft.com/office/drawing/2010/main" val="0"/>
                          </a:ext>
                        </a:extLst>
                      </a:blip>
                      <a:srcRect l="15955" t="14306" r="12116" b="10506"/>
                      <a:stretch>
                        <a:fillRect/>
                      </a:stretch>
                    </pic:blipFill>
                    <pic:spPr>
                      <a:xfrm>
                        <a:off x="0" y="0"/>
                        <a:ext cx="4525010" cy="2517775"/>
                      </a:xfrm>
                      <a:prstGeom prst="rect">
                        <a:avLst/>
                      </a:prstGeom>
                      <a:ln>
                        <a:noFill/>
                      </a:ln>
                    </pic:spPr>
                  </pic:pic>
                </a:graphicData>
              </a:graphic>
            </wp:anchor>
          </w:drawing>
        </w:r>
      </w:ins>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p>
    <w:p>
      <w:pPr>
        <w:widowControl/>
        <w:autoSpaceDE w:val="0"/>
        <w:autoSpaceDN w:val="0"/>
        <w:adjustRightInd w:val="0"/>
        <w:snapToGrid w:val="0"/>
        <w:spacing w:line="600" w:lineRule="exact"/>
        <w:ind w:firstLine="600" w:firstLineChars="200"/>
        <w:rPr>
          <w:rFonts w:ascii="仿宋" w:hAnsi="仿宋" w:eastAsia="仿宋" w:cs="仿宋"/>
          <w:color w:val="000000" w:themeColor="text1"/>
          <w:kern w:val="0"/>
          <w:sz w:val="30"/>
          <w:szCs w:val="30"/>
          <w14:textFill>
            <w14:solidFill>
              <w14:schemeClr w14:val="tx1"/>
            </w14:solidFill>
          </w14:textFill>
        </w:rPr>
      </w:pPr>
    </w:p>
    <w:p>
      <w:pPr>
        <w:widowControl/>
        <w:autoSpaceDE w:val="0"/>
        <w:autoSpaceDN w:val="0"/>
        <w:adjustRightInd w:val="0"/>
        <w:snapToGrid w:val="0"/>
        <w:spacing w:line="600" w:lineRule="exact"/>
        <w:ind w:firstLine="602" w:firstLineChars="200"/>
        <w:rPr>
          <w:rFonts w:ascii="黑体" w:hAnsi="黑体" w:cs="黑体"/>
          <w:b/>
          <w:bCs/>
          <w:sz w:val="30"/>
          <w:szCs w:val="30"/>
        </w:rPr>
      </w:pPr>
      <w:r>
        <w:rPr>
          <w:rFonts w:hint="eastAsia" w:ascii="黑体" w:hAnsi="黑体" w:cs="黑体"/>
          <w:b/>
          <w:bCs/>
          <w:sz w:val="30"/>
          <w:szCs w:val="30"/>
        </w:rPr>
        <w:t>二、常见错误类型</w:t>
      </w:r>
      <w:bookmarkEnd w:id="163"/>
    </w:p>
    <w:p>
      <w:pPr>
        <w:pStyle w:val="21"/>
        <w:adjustRightInd w:val="0"/>
        <w:snapToGrid w:val="0"/>
        <w:spacing w:after="0" w:line="600" w:lineRule="exact"/>
        <w:ind w:firstLine="427"/>
        <w:rPr>
          <w:rFonts w:ascii="楷体" w:hAnsi="楷体" w:eastAsia="楷体" w:cs="楷体"/>
          <w:bCs/>
          <w:sz w:val="30"/>
          <w:szCs w:val="30"/>
        </w:rPr>
      </w:pPr>
      <w:r>
        <w:rPr>
          <w:rFonts w:hint="eastAsia" w:ascii="楷体" w:hAnsi="楷体" w:eastAsia="楷体" w:cs="楷体"/>
          <w:bCs/>
          <w:sz w:val="30"/>
          <w:szCs w:val="30"/>
        </w:rPr>
        <w:t>（一）看错数字单位</w:t>
      </w:r>
    </w:p>
    <w:p>
      <w:pPr>
        <w:pStyle w:val="31"/>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rPr>
        <w:t>如把“万元/年”理解成“元/年”，或者把“元/年”理解成“万元/年”，造成数据扩大或缩小万倍。如果看错单位的数据错误累</w:t>
      </w:r>
      <w:r>
        <w:rPr>
          <w:rFonts w:hint="eastAsia" w:ascii="仿宋" w:hAnsi="仿宋" w:eastAsia="仿宋" w:cs="仿宋"/>
          <w:sz w:val="30"/>
          <w:szCs w:val="30"/>
          <w:lang w:eastAsia="zh-CN"/>
        </w:rPr>
        <w:t>积</w:t>
      </w:r>
      <w:r>
        <w:rPr>
          <w:rFonts w:hint="eastAsia" w:ascii="仿宋" w:hAnsi="仿宋" w:eastAsia="仿宋" w:cs="仿宋"/>
          <w:sz w:val="30"/>
          <w:szCs w:val="30"/>
        </w:rPr>
        <w:t>到一定程度，就会在全国调查数据分布中</w:t>
      </w:r>
      <w:r>
        <w:rPr>
          <w:rFonts w:hint="eastAsia" w:ascii="仿宋" w:hAnsi="仿宋" w:eastAsia="仿宋" w:cs="仿宋"/>
          <w:sz w:val="30"/>
          <w:szCs w:val="30"/>
          <w:lang w:val="zh-CN"/>
        </w:rPr>
        <w:t>出现较多的极大值极小值，从而拉高或拉低当年统计结果的整体平均水平，造成数据失真；同时由于今年的数据分布过于分散，还会导致第二年不得不进一步扩大调查企业的数量规模，增加额外工作量。</w:t>
      </w:r>
    </w:p>
    <w:p>
      <w:pPr>
        <w:pStyle w:val="31"/>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lang w:val="zh-CN"/>
        </w:rPr>
        <w:t>防止错误的方法：</w:t>
      </w:r>
    </w:p>
    <w:p>
      <w:pPr>
        <w:pStyle w:val="31"/>
        <w:adjustRightInd w:val="0"/>
        <w:snapToGrid w:val="0"/>
        <w:spacing w:after="0" w:line="600" w:lineRule="exact"/>
        <w:ind w:firstLine="699" w:firstLineChars="233"/>
        <w:rPr>
          <w:rFonts w:ascii="仿宋" w:hAnsi="仿宋" w:eastAsia="仿宋" w:cs="仿宋"/>
          <w:sz w:val="30"/>
          <w:szCs w:val="30"/>
          <w:lang w:val="zh-CN"/>
        </w:rPr>
      </w:pPr>
      <w:r>
        <w:rPr>
          <w:rFonts w:hint="eastAsia" w:ascii="仿宋" w:hAnsi="仿宋" w:eastAsia="仿宋" w:cs="仿宋"/>
          <w:sz w:val="30"/>
          <w:szCs w:val="30"/>
          <w:lang w:val="zh-CN"/>
        </w:rPr>
        <w:t>①切记《企业人工成本情况调查表》中所有财务类指标和人工成本类指标的单位都是“万元/年”。</w:t>
      </w:r>
    </w:p>
    <w:p>
      <w:pPr>
        <w:pStyle w:val="31"/>
        <w:adjustRightInd w:val="0"/>
        <w:snapToGrid w:val="0"/>
        <w:spacing w:after="0" w:line="600" w:lineRule="exact"/>
        <w:ind w:firstLine="696" w:firstLineChars="232"/>
        <w:rPr>
          <w:rFonts w:ascii="仿宋" w:hAnsi="仿宋" w:eastAsia="仿宋" w:cs="仿宋"/>
          <w:sz w:val="30"/>
          <w:szCs w:val="30"/>
          <w:lang w:val="zh-CN"/>
        </w:rPr>
      </w:pPr>
      <w:r>
        <w:rPr>
          <w:rFonts w:hint="eastAsia" w:ascii="仿宋" w:hAnsi="仿宋" w:eastAsia="仿宋" w:cs="仿宋"/>
          <w:sz w:val="30"/>
          <w:szCs w:val="30"/>
          <w:lang w:val="zh-CN"/>
        </w:rPr>
        <w:fldChar w:fldCharType="begin"/>
      </w:r>
      <w:r>
        <w:rPr>
          <w:rFonts w:hint="eastAsia" w:ascii="仿宋" w:hAnsi="仿宋" w:eastAsia="仿宋" w:cs="仿宋"/>
          <w:sz w:val="30"/>
          <w:szCs w:val="30"/>
          <w:lang w:val="zh-CN"/>
        </w:rPr>
        <w:instrText xml:space="preserve"> = 2 \* GB3 </w:instrText>
      </w:r>
      <w:r>
        <w:rPr>
          <w:rFonts w:hint="eastAsia" w:ascii="仿宋" w:hAnsi="仿宋" w:eastAsia="仿宋" w:cs="仿宋"/>
          <w:sz w:val="30"/>
          <w:szCs w:val="30"/>
          <w:lang w:val="zh-CN"/>
        </w:rPr>
        <w:fldChar w:fldCharType="separate"/>
      </w:r>
      <w:r>
        <w:rPr>
          <w:rFonts w:hint="eastAsia" w:ascii="仿宋" w:hAnsi="仿宋" w:eastAsia="仿宋" w:cs="仿宋"/>
          <w:sz w:val="30"/>
          <w:szCs w:val="30"/>
          <w:lang w:val="zh-CN"/>
        </w:rPr>
        <w:t>②</w:t>
      </w:r>
      <w:r>
        <w:rPr>
          <w:rFonts w:hint="eastAsia" w:ascii="仿宋" w:hAnsi="仿宋" w:eastAsia="仿宋" w:cs="仿宋"/>
          <w:sz w:val="30"/>
          <w:szCs w:val="30"/>
          <w:lang w:val="zh-CN"/>
        </w:rPr>
        <w:fldChar w:fldCharType="end"/>
      </w:r>
      <w:r>
        <w:rPr>
          <w:rFonts w:hint="eastAsia" w:ascii="仿宋" w:hAnsi="仿宋" w:eastAsia="仿宋" w:cs="仿宋"/>
          <w:sz w:val="30"/>
          <w:szCs w:val="30"/>
          <w:lang w:val="zh-CN"/>
        </w:rPr>
        <w:t>切记《从业人员工资调查表》中有关工资报酬类指标的单位都是“元/年”，工作小时数单位是“小时/周”，出生和参加工作时间单位都是“年”，不用填写月份。</w:t>
      </w:r>
    </w:p>
    <w:p>
      <w:pPr>
        <w:pStyle w:val="21"/>
        <w:adjustRightInd w:val="0"/>
        <w:snapToGrid w:val="0"/>
        <w:spacing w:after="0" w:line="600" w:lineRule="exact"/>
        <w:ind w:firstLine="427"/>
        <w:rPr>
          <w:rFonts w:ascii="楷体" w:hAnsi="楷体" w:eastAsia="楷体" w:cs="楷体"/>
          <w:bCs/>
          <w:sz w:val="30"/>
          <w:szCs w:val="30"/>
        </w:rPr>
      </w:pPr>
      <w:r>
        <w:rPr>
          <w:rFonts w:hint="eastAsia" w:ascii="楷体" w:hAnsi="楷体" w:eastAsia="楷体" w:cs="楷体"/>
          <w:bCs/>
          <w:sz w:val="30"/>
          <w:szCs w:val="30"/>
        </w:rPr>
        <w:t>（二）数据间逻辑混乱</w:t>
      </w:r>
    </w:p>
    <w:p>
      <w:pPr>
        <w:pStyle w:val="21"/>
        <w:adjustRightInd w:val="0"/>
        <w:snapToGrid w:val="0"/>
        <w:spacing w:after="0" w:line="600" w:lineRule="exact"/>
        <w:ind w:firstLine="427"/>
        <w:rPr>
          <w:rFonts w:ascii="仿宋" w:hAnsi="仿宋" w:eastAsia="仿宋" w:cs="仿宋"/>
          <w:b w:val="0"/>
          <w:sz w:val="30"/>
          <w:szCs w:val="30"/>
          <w:lang w:val="zh-CN"/>
        </w:rPr>
      </w:pPr>
      <w:r>
        <w:rPr>
          <w:rFonts w:hint="eastAsia" w:ascii="仿宋" w:hAnsi="仿宋" w:eastAsia="仿宋" w:cs="仿宋"/>
          <w:b w:val="0"/>
          <w:sz w:val="30"/>
          <w:szCs w:val="30"/>
          <w:lang w:val="zh-CN"/>
        </w:rPr>
        <w:t>企业薪酬调查的表内和表间数据之间存在一定的逻辑关系，填报和审核时要注意。</w:t>
      </w:r>
    </w:p>
    <w:p>
      <w:pPr>
        <w:pStyle w:val="31"/>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1.用工人数之间逻辑混乱</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如“在岗职工”人数和“劳务派遣”人数之和大于“企业从业人员平均人数”，或者“劳务派遣”人数大于“从业人员平均人数”。</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正确填法：企业从业人员=“在岗职工”+“劳务派遣”+“其他”（不包含在本调查之中）。注意用工人数的单位都是“人”，不是千人或万人。系统对此内置了逻辑性审核条件。</w:t>
      </w:r>
    </w:p>
    <w:p>
      <w:pPr>
        <w:pStyle w:val="31"/>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2.人工成本类数据之间逻辑混乱</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如“成本费用总额”金额&lt;“人工成本”金额，“从业人员工资总额”&lt;“在岗职工工资”金额等等。</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正确填法：“成本费用总额”金额≥“人工成本”金额，“从业人员工资总额”≥“在岗职工工资总额”+“劳务派遣工资总额”。系统对此内置了逻辑性审核条件。</w:t>
      </w:r>
    </w:p>
    <w:p>
      <w:pPr>
        <w:pStyle w:val="31"/>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3.人数与工资数据之间逻辑混乱</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如“劳务派遣人数”为32人，“劳务派遣工资总额”填写0元等。</w:t>
      </w:r>
    </w:p>
    <w:p>
      <w:pPr>
        <w:pStyle w:val="31"/>
        <w:adjustRightInd w:val="0"/>
        <w:snapToGrid w:val="0"/>
        <w:spacing w:after="0" w:line="600" w:lineRule="exact"/>
        <w:ind w:firstLine="198" w:firstLineChars="66"/>
        <w:rPr>
          <w:rFonts w:ascii="仿宋" w:hAnsi="仿宋" w:eastAsia="仿宋" w:cs="仿宋"/>
          <w:sz w:val="30"/>
          <w:szCs w:val="30"/>
        </w:rPr>
      </w:pPr>
      <w:r>
        <w:rPr>
          <w:rFonts w:hint="eastAsia" w:ascii="仿宋" w:hAnsi="仿宋" w:eastAsia="仿宋" w:cs="仿宋"/>
          <w:sz w:val="30"/>
          <w:szCs w:val="30"/>
        </w:rPr>
        <w:t>正确填法：“劳务派遣人数”=0，则“劳务派遣工资总额”为0元，“从业人员工资总额”=“在岗职工工资总额”；“劳务派遣人数”≠0，则“劳务派遣工资总额”≠0元，系统对此均内置了逻辑性审核条件。</w:t>
      </w:r>
    </w:p>
    <w:p>
      <w:pPr>
        <w:pStyle w:val="21"/>
        <w:adjustRightInd w:val="0"/>
        <w:snapToGrid w:val="0"/>
        <w:spacing w:after="0" w:line="600" w:lineRule="exact"/>
        <w:ind w:firstLine="427"/>
        <w:rPr>
          <w:rFonts w:ascii="楷体" w:hAnsi="楷体" w:eastAsia="楷体" w:cs="楷体"/>
          <w:b w:val="0"/>
          <w:sz w:val="30"/>
          <w:szCs w:val="30"/>
        </w:rPr>
      </w:pPr>
      <w:r>
        <w:rPr>
          <w:rFonts w:hint="eastAsia" w:ascii="楷体" w:hAnsi="楷体" w:eastAsia="楷体" w:cs="楷体"/>
          <w:b w:val="0"/>
          <w:sz w:val="30"/>
          <w:szCs w:val="30"/>
        </w:rPr>
        <w:t>（三）信息填写不符合要求</w:t>
      </w:r>
    </w:p>
    <w:p>
      <w:pPr>
        <w:pStyle w:val="31"/>
        <w:adjustRightInd w:val="0"/>
        <w:snapToGrid w:val="0"/>
        <w:spacing w:after="0" w:line="600" w:lineRule="exact"/>
        <w:ind w:firstLine="602"/>
        <w:rPr>
          <w:rFonts w:ascii="仿宋" w:hAnsi="仿宋" w:eastAsia="仿宋" w:cs="仿宋"/>
          <w:b/>
          <w:bCs/>
          <w:sz w:val="30"/>
          <w:szCs w:val="30"/>
          <w:lang w:val="zh-CN"/>
        </w:rPr>
      </w:pPr>
      <w:r>
        <w:rPr>
          <w:rFonts w:hint="eastAsia" w:ascii="仿宋" w:hAnsi="仿宋" w:eastAsia="仿宋" w:cs="仿宋"/>
          <w:b/>
          <w:bCs/>
          <w:sz w:val="30"/>
          <w:szCs w:val="30"/>
          <w:lang w:val="zh-CN"/>
        </w:rPr>
        <w:t>1.</w:t>
      </w:r>
      <w:r>
        <w:rPr>
          <w:rFonts w:hint="eastAsia" w:ascii="仿宋" w:hAnsi="仿宋" w:eastAsia="仿宋" w:cs="仿宋"/>
          <w:b/>
          <w:bCs/>
          <w:sz w:val="30"/>
          <w:szCs w:val="30"/>
        </w:rPr>
        <w:t>企业行政区划代码填写过粗</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rPr>
        <w:t>如</w:t>
      </w:r>
      <w:r>
        <w:rPr>
          <w:rFonts w:hint="eastAsia" w:ascii="仿宋" w:hAnsi="仿宋" w:eastAsia="仿宋" w:cs="仿宋"/>
          <w:sz w:val="30"/>
          <w:szCs w:val="30"/>
          <w:lang w:val="zh-CN"/>
        </w:rPr>
        <w:t>湖北省武汉市武昌区的企业行政区划代码错误填写为“420000”（湖北省）或“420100”（武汉市）。</w:t>
      </w:r>
    </w:p>
    <w:p>
      <w:pPr>
        <w:pStyle w:val="31"/>
        <w:adjustRightInd w:val="0"/>
        <w:snapToGrid w:val="0"/>
        <w:spacing w:after="0" w:line="600" w:lineRule="exact"/>
        <w:ind w:firstLine="600"/>
        <w:rPr>
          <w:rFonts w:ascii="仿宋" w:hAnsi="仿宋" w:eastAsia="仿宋" w:cs="仿宋"/>
          <w:sz w:val="30"/>
          <w:szCs w:val="30"/>
          <w:lang w:val="zh-CN"/>
        </w:rPr>
      </w:pPr>
      <w:r>
        <w:rPr>
          <w:rFonts w:hint="eastAsia" w:ascii="仿宋" w:hAnsi="仿宋" w:eastAsia="仿宋" w:cs="仿宋"/>
          <w:sz w:val="30"/>
          <w:szCs w:val="30"/>
        </w:rPr>
        <w:t>正确填法：在《企业人工成本表》中的企业行政区划代码填写到区县一级。</w:t>
      </w:r>
      <w:r>
        <w:rPr>
          <w:rFonts w:hint="eastAsia" w:ascii="仿宋" w:hAnsi="仿宋" w:eastAsia="仿宋" w:cs="仿宋"/>
          <w:sz w:val="30"/>
          <w:szCs w:val="30"/>
          <w:lang w:val="zh-CN"/>
        </w:rPr>
        <w:t>湖北省武汉市武昌区的行政区域代码为420106。</w:t>
      </w:r>
    </w:p>
    <w:p>
      <w:pPr>
        <w:pStyle w:val="31"/>
        <w:adjustRightInd w:val="0"/>
        <w:snapToGrid w:val="0"/>
        <w:spacing w:after="0" w:line="600" w:lineRule="exact"/>
        <w:ind w:firstLine="602"/>
        <w:rPr>
          <w:rFonts w:ascii="仿宋" w:hAnsi="仿宋" w:eastAsia="仿宋" w:cs="仿宋"/>
          <w:b/>
          <w:bCs/>
          <w:sz w:val="30"/>
          <w:szCs w:val="30"/>
        </w:rPr>
      </w:pPr>
      <w:r>
        <w:rPr>
          <w:rFonts w:hint="eastAsia" w:ascii="仿宋" w:hAnsi="仿宋" w:eastAsia="仿宋" w:cs="仿宋"/>
          <w:b/>
          <w:bCs/>
          <w:sz w:val="30"/>
          <w:szCs w:val="30"/>
        </w:rPr>
        <w:t>2.</w:t>
      </w:r>
      <w:r>
        <w:rPr>
          <w:rFonts w:hint="eastAsia" w:ascii="仿宋" w:hAnsi="仿宋" w:eastAsia="仿宋" w:cs="仿宋"/>
          <w:b/>
          <w:bCs/>
          <w:sz w:val="30"/>
          <w:szCs w:val="30"/>
          <w:lang w:val="zh-CN"/>
        </w:rPr>
        <w:t>企业</w:t>
      </w:r>
      <w:r>
        <w:rPr>
          <w:rFonts w:hint="eastAsia" w:ascii="仿宋" w:hAnsi="仿宋" w:eastAsia="仿宋" w:cs="仿宋"/>
          <w:b/>
          <w:bCs/>
          <w:sz w:val="30"/>
          <w:szCs w:val="30"/>
        </w:rPr>
        <w:t>登记注册类型填写过粗</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如中外合作经营企业的登记注册类型错误填写为“300”（外商投资企业）。</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lang w:val="zh-CN"/>
        </w:rPr>
        <w:t>正确填法：登记注册类型一定填写小类代码，不可填写100、200、300。</w:t>
      </w:r>
      <w:r>
        <w:rPr>
          <w:rFonts w:hint="eastAsia" w:ascii="仿宋" w:hAnsi="仿宋" w:eastAsia="仿宋" w:cs="仿宋"/>
          <w:sz w:val="30"/>
          <w:szCs w:val="30"/>
        </w:rPr>
        <w:t>中外合作经营企业的登记注册类型为“320”。</w:t>
      </w:r>
    </w:p>
    <w:p>
      <w:pPr>
        <w:pStyle w:val="31"/>
        <w:adjustRightInd w:val="0"/>
        <w:snapToGrid w:val="0"/>
        <w:spacing w:after="0" w:line="600" w:lineRule="exact"/>
        <w:ind w:firstLine="602"/>
        <w:rPr>
          <w:rFonts w:ascii="仿宋" w:hAnsi="仿宋" w:eastAsia="仿宋" w:cs="仿宋"/>
          <w:b/>
          <w:bCs/>
          <w:sz w:val="30"/>
          <w:szCs w:val="30"/>
          <w:lang w:val="zh-CN"/>
        </w:rPr>
      </w:pPr>
      <w:r>
        <w:rPr>
          <w:rFonts w:hint="eastAsia" w:ascii="仿宋" w:hAnsi="仿宋" w:eastAsia="仿宋" w:cs="仿宋"/>
          <w:b/>
          <w:bCs/>
          <w:sz w:val="30"/>
          <w:szCs w:val="30"/>
        </w:rPr>
        <w:t>3.劳动者职业填写过粗</w:t>
      </w:r>
    </w:p>
    <w:p>
      <w:pPr>
        <w:pStyle w:val="31"/>
        <w:adjustRightInd w:val="0"/>
        <w:snapToGrid w:val="0"/>
        <w:spacing w:after="0" w:line="600" w:lineRule="exact"/>
        <w:ind w:firstLine="600"/>
        <w:rPr>
          <w:rFonts w:ascii="仿宋" w:hAnsi="仿宋" w:eastAsia="仿宋" w:cs="仿宋"/>
          <w:sz w:val="30"/>
          <w:szCs w:val="30"/>
        </w:rPr>
      </w:pPr>
      <w:r>
        <w:rPr>
          <w:rFonts w:hint="eastAsia" w:ascii="仿宋" w:hAnsi="仿宋" w:eastAsia="仿宋" w:cs="仿宋"/>
          <w:sz w:val="30"/>
          <w:szCs w:val="30"/>
        </w:rPr>
        <w:t>如电子商务营销人员的职业代码错误填写为“4010200”（销售人员），锻造工职业代码错误填写为“6180200”（机械热加工人员）等。</w:t>
      </w:r>
    </w:p>
    <w:p>
      <w:pPr>
        <w:pStyle w:val="31"/>
        <w:adjustRightInd w:val="0"/>
        <w:snapToGrid w:val="0"/>
        <w:spacing w:after="0" w:line="600" w:lineRule="exact"/>
        <w:ind w:firstLine="600"/>
        <w:rPr>
          <w:rFonts w:hint="eastAsia" w:ascii="仿宋" w:hAnsi="仿宋" w:eastAsia="仿宋" w:cs="仿宋"/>
          <w:sz w:val="30"/>
          <w:szCs w:val="30"/>
        </w:rPr>
      </w:pPr>
      <w:r>
        <w:rPr>
          <w:rFonts w:hint="eastAsia" w:ascii="仿宋" w:hAnsi="仿宋" w:eastAsia="仿宋" w:cs="仿宋"/>
          <w:sz w:val="30"/>
          <w:szCs w:val="30"/>
          <w:lang w:val="zh-CN"/>
        </w:rPr>
        <w:t>正确填法：劳动者的</w:t>
      </w:r>
      <w:r>
        <w:rPr>
          <w:rFonts w:hint="eastAsia" w:ascii="仿宋" w:hAnsi="仿宋" w:eastAsia="仿宋" w:cs="仿宋"/>
          <w:sz w:val="30"/>
          <w:szCs w:val="30"/>
        </w:rPr>
        <w:t>职业代码填写到职业小类（部分地区可能要求填写到细类）。如电子商务营销人员正确填写为“4010202”，锻造工职业代码正确填写为“6180202”。</w:t>
      </w: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31"/>
        <w:adjustRightInd w:val="0"/>
        <w:snapToGrid w:val="0"/>
        <w:spacing w:after="0" w:line="600" w:lineRule="exact"/>
        <w:ind w:firstLine="600"/>
        <w:rPr>
          <w:rFonts w:hint="eastAsia" w:ascii="仿宋" w:hAnsi="仿宋" w:eastAsia="仿宋" w:cs="仿宋"/>
          <w:sz w:val="30"/>
          <w:szCs w:val="30"/>
        </w:rPr>
      </w:pPr>
    </w:p>
    <w:p>
      <w:pPr>
        <w:pStyle w:val="27"/>
        <w:adjustRightInd w:val="0"/>
        <w:snapToGrid w:val="0"/>
        <w:spacing w:before="0" w:after="0" w:line="240" w:lineRule="auto"/>
        <w:ind w:firstLine="0" w:firstLineChars="0"/>
        <w:jc w:val="center"/>
        <w:outlineLvl w:val="1"/>
        <w:rPr>
          <w:rFonts w:hint="eastAsia" w:ascii="黑体" w:hAnsi="黑体"/>
          <w:b w:val="0"/>
          <w:sz w:val="32"/>
          <w:szCs w:val="32"/>
        </w:rPr>
      </w:pPr>
      <w:bookmarkStart w:id="164" w:name="_Toc93509817"/>
      <w:r>
        <w:rPr>
          <w:rFonts w:hint="eastAsia" w:ascii="黑体" w:hAnsi="黑体"/>
          <w:b w:val="0"/>
          <w:sz w:val="32"/>
          <w:szCs w:val="32"/>
        </w:rPr>
        <w:t>第四部分 附录</w:t>
      </w:r>
      <w:bookmarkEnd w:id="164"/>
    </w:p>
    <w:p>
      <w:pPr>
        <w:pStyle w:val="27"/>
        <w:adjustRightInd w:val="0"/>
        <w:snapToGrid w:val="0"/>
        <w:spacing w:before="0" w:after="0" w:line="240" w:lineRule="auto"/>
        <w:ind w:firstLine="0" w:firstLineChars="0"/>
        <w:jc w:val="center"/>
        <w:outlineLvl w:val="1"/>
        <w:rPr>
          <w:rFonts w:hint="eastAsia" w:ascii="黑体" w:hAnsi="黑体"/>
          <w:b w:val="0"/>
          <w:sz w:val="32"/>
          <w:szCs w:val="32"/>
        </w:rPr>
      </w:pPr>
    </w:p>
    <w:p>
      <w:pPr>
        <w:pStyle w:val="27"/>
        <w:adjustRightInd w:val="0"/>
        <w:snapToGrid w:val="0"/>
        <w:spacing w:before="0" w:after="0" w:line="240" w:lineRule="auto"/>
        <w:ind w:firstLine="0" w:firstLineChars="0"/>
        <w:jc w:val="both"/>
        <w:outlineLvl w:val="1"/>
        <w:rPr>
          <w:rFonts w:hint="eastAsia" w:ascii="黑体" w:hAnsi="黑体"/>
          <w:b w:val="0"/>
          <w:sz w:val="32"/>
          <w:szCs w:val="32"/>
        </w:rPr>
      </w:pPr>
    </w:p>
    <w:tbl>
      <w:tblPr>
        <w:tblStyle w:val="17"/>
        <w:tblW w:w="0" w:type="auto"/>
        <w:tblInd w:w="108" w:type="dxa"/>
        <w:tblLayout w:type="autofit"/>
        <w:tblCellMar>
          <w:top w:w="0" w:type="dxa"/>
          <w:left w:w="108" w:type="dxa"/>
          <w:bottom w:w="0" w:type="dxa"/>
          <w:right w:w="108" w:type="dxa"/>
        </w:tblCellMar>
      </w:tblPr>
      <w:tblGrid>
        <w:gridCol w:w="1687"/>
        <w:gridCol w:w="6727"/>
      </w:tblGrid>
      <w:tr>
        <w:tblPrEx>
          <w:tblCellMar>
            <w:top w:w="0" w:type="dxa"/>
            <w:left w:w="108" w:type="dxa"/>
            <w:bottom w:w="0" w:type="dxa"/>
            <w:right w:w="108" w:type="dxa"/>
          </w:tblCellMar>
        </w:tblPrEx>
        <w:trPr>
          <w:trHeight w:val="710" w:hRule="atLeast"/>
        </w:trPr>
        <w:tc>
          <w:tcPr>
            <w:tcW w:w="0" w:type="auto"/>
            <w:gridSpan w:val="2"/>
            <w:tcBorders>
              <w:top w:val="nil"/>
              <w:left w:val="nil"/>
              <w:bottom w:val="nil"/>
              <w:right w:val="nil"/>
            </w:tcBorders>
            <w:shd w:val="clear" w:color="auto" w:fill="auto"/>
            <w:vAlign w:val="bottom"/>
          </w:tcPr>
          <w:p>
            <w:pPr>
              <w:pStyle w:val="4"/>
              <w:spacing w:before="0" w:after="0" w:line="240" w:lineRule="auto"/>
              <w:rPr>
                <w:rFonts w:ascii="仿宋" w:hAnsi="仿宋" w:eastAsia="仿宋" w:cs="Calibri"/>
                <w:color w:val="000000"/>
                <w:sz w:val="28"/>
                <w:szCs w:val="28"/>
              </w:rPr>
            </w:pPr>
            <w:bookmarkStart w:id="165" w:name="_Toc93509818"/>
            <w:r>
              <w:rPr>
                <w:rFonts w:hint="eastAsia" w:ascii="楷体" w:hAnsi="楷体" w:eastAsia="楷体" w:cs="楷体"/>
                <w:b w:val="0"/>
                <w:bCs w:val="0"/>
              </w:rPr>
              <w:t>附录1</w:t>
            </w:r>
            <w:r>
              <w:rPr>
                <w:rFonts w:ascii="楷体" w:hAnsi="楷体" w:eastAsia="楷体" w:cs="楷体"/>
                <w:b w:val="0"/>
                <w:bCs w:val="0"/>
              </w:rPr>
              <w:t xml:space="preserve">  </w:t>
            </w:r>
            <w:r>
              <w:rPr>
                <w:rFonts w:hint="eastAsia" w:ascii="楷体" w:hAnsi="楷体" w:eastAsia="楷体" w:cs="楷体"/>
                <w:b w:val="0"/>
                <w:bCs w:val="0"/>
              </w:rPr>
              <w:t>企业薪酬调查数据评估参考维度</w:t>
            </w:r>
            <w:bookmarkEnd w:id="165"/>
            <w:r>
              <w:rPr>
                <w:rFonts w:hint="eastAsia"/>
              </w:rPr>
              <w:br w:type="textWrapping"/>
            </w:r>
            <w:r>
              <w:rPr>
                <w:rFonts w:hint="eastAsia" w:ascii="仿宋" w:hAnsi="仿宋" w:eastAsia="仿宋" w:cs="Calibri"/>
                <w:color w:val="000000"/>
                <w:sz w:val="28"/>
                <w:szCs w:val="28"/>
              </w:rPr>
              <w:t>(一)企业从业人员工资价位审核评估参考维度</w:t>
            </w:r>
          </w:p>
        </w:tc>
      </w:tr>
      <w:tr>
        <w:tblPrEx>
          <w:tblCellMar>
            <w:top w:w="0" w:type="dxa"/>
            <w:left w:w="108" w:type="dxa"/>
            <w:bottom w:w="0" w:type="dxa"/>
            <w:right w:w="108" w:type="dxa"/>
          </w:tblCellMar>
        </w:tblPrEx>
        <w:trPr>
          <w:trHeight w:val="320"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仿宋" w:hAnsi="仿宋" w:eastAsia="仿宋" w:cs="Calibri"/>
                <w:b/>
                <w:bCs/>
                <w:color w:val="000000"/>
              </w:rPr>
            </w:pPr>
            <w:r>
              <w:rPr>
                <w:rFonts w:hint="eastAsia" w:ascii="仿宋" w:hAnsi="仿宋" w:eastAsia="仿宋" w:cs="Calibri"/>
                <w:b/>
                <w:bCs/>
                <w:color w:val="000000"/>
              </w:rPr>
              <w:t>评估维度</w:t>
            </w:r>
          </w:p>
        </w:tc>
        <w:tc>
          <w:tcPr>
            <w:tcW w:w="0" w:type="auto"/>
            <w:tcBorders>
              <w:top w:val="single" w:color="auto" w:sz="4" w:space="0"/>
              <w:left w:val="nil"/>
              <w:bottom w:val="single" w:color="auto" w:sz="4" w:space="0"/>
              <w:right w:val="single" w:color="auto" w:sz="4" w:space="0"/>
            </w:tcBorders>
            <w:shd w:val="clear" w:color="auto" w:fill="auto"/>
            <w:vAlign w:val="bottom"/>
          </w:tcPr>
          <w:p>
            <w:pPr>
              <w:jc w:val="center"/>
              <w:rPr>
                <w:rFonts w:ascii="仿宋" w:hAnsi="仿宋" w:eastAsia="仿宋" w:cs="Calibri"/>
                <w:b/>
                <w:bCs/>
                <w:color w:val="000000"/>
              </w:rPr>
            </w:pPr>
            <w:r>
              <w:rPr>
                <w:rFonts w:hint="eastAsia" w:ascii="仿宋" w:hAnsi="仿宋" w:eastAsia="仿宋" w:cs="Calibri"/>
                <w:b/>
                <w:bCs/>
                <w:color w:val="000000"/>
              </w:rPr>
              <w:t>评估参考标准</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工资报酬均值相对误差</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相对误差原则上不应高于10%</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有效样本数量</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可结合样本测算理论值、有效样本占总体比例及往年调查经验综合确定各维度有效样本数量低线</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数据年度波动</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原则上各维度中位值数据相比上年波动应小于20%,兼顾考虑其他分位值波动特别是各分位值变化趋势相反的情况</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平均数和中位数关系</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原则上应符合:平均数*60%≤中位数≤平均数</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工资价位排名</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原则上年度间工资排名在同一维度应保持相对稳定,波动位次预警线可结合分析维度层数确定</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与全国和周边地区比较</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可结合本地经济社会发展水平、全国及周边地区调查的相同维度的数据综合确定本级调查数据的合理区间</w:t>
            </w:r>
          </w:p>
        </w:tc>
      </w:tr>
      <w:tr>
        <w:tblPrEx>
          <w:tblCellMar>
            <w:top w:w="0" w:type="dxa"/>
            <w:left w:w="108" w:type="dxa"/>
            <w:bottom w:w="0" w:type="dxa"/>
            <w:right w:w="108" w:type="dxa"/>
          </w:tblCellMar>
        </w:tblPrEx>
        <w:trPr>
          <w:trHeight w:val="9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与同级统计部门相关</w:t>
            </w:r>
            <w:r>
              <w:rPr>
                <w:rFonts w:hint="eastAsia" w:ascii="仿宋" w:hAnsi="仿宋" w:eastAsia="仿宋" w:cs="Calibri"/>
                <w:color w:val="000000"/>
              </w:rPr>
              <w:br w:type="textWrapping"/>
            </w:r>
            <w:r>
              <w:rPr>
                <w:rFonts w:hint="eastAsia" w:ascii="仿宋" w:hAnsi="仿宋" w:eastAsia="仿宋" w:cs="Calibri"/>
                <w:color w:val="000000"/>
              </w:rPr>
              <w:t>数据关系</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薪酬调查数据应与本级统计部门公布的相关数据关系合理。</w:t>
            </w:r>
            <w:r>
              <w:rPr>
                <w:rFonts w:hint="eastAsia" w:ascii="仿宋" w:hAnsi="仿宋" w:eastAsia="仿宋" w:cs="Calibri"/>
                <w:color w:val="000000"/>
              </w:rPr>
              <w:br w:type="textWrapping"/>
            </w:r>
            <w:r>
              <w:rPr>
                <w:rFonts w:hint="eastAsia" w:ascii="仿宋" w:hAnsi="仿宋" w:eastAsia="仿宋" w:cs="Calibri"/>
                <w:color w:val="000000"/>
              </w:rPr>
              <w:t>1.调查工资低位数应小于等于同级统计部门职业大类工资均值；</w:t>
            </w:r>
            <w:r>
              <w:rPr>
                <w:rFonts w:hint="eastAsia" w:ascii="仿宋" w:hAnsi="仿宋" w:eastAsia="仿宋" w:cs="Calibri"/>
                <w:color w:val="000000"/>
              </w:rPr>
              <w:br w:type="textWrapping"/>
            </w:r>
            <w:r>
              <w:rPr>
                <w:rFonts w:hint="eastAsia" w:ascii="仿宋" w:hAnsi="仿宋" w:eastAsia="仿宋" w:cs="Calibri"/>
                <w:color w:val="000000"/>
              </w:rPr>
              <w:t>2.调查工资高位数应大于等于同级统计部门职业大类工资均值。</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　</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　</w:t>
            </w:r>
          </w:p>
        </w:tc>
      </w:tr>
      <w:tr>
        <w:tblPrEx>
          <w:tblCellMar>
            <w:top w:w="0" w:type="dxa"/>
            <w:left w:w="108" w:type="dxa"/>
            <w:bottom w:w="0" w:type="dxa"/>
            <w:right w:w="108" w:type="dxa"/>
          </w:tblCellMar>
        </w:tblPrEx>
        <w:trPr>
          <w:trHeight w:val="15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注:1.上述审核评估条件以相对误差大小为基本原则,其他审核条件可综合参考;</w:t>
            </w:r>
            <w:r>
              <w:rPr>
                <w:rFonts w:hint="eastAsia" w:ascii="仿宋" w:hAnsi="仿宋" w:eastAsia="仿宋" w:cs="Calibri"/>
                <w:color w:val="000000"/>
              </w:rPr>
              <w:br w:type="textWrapping"/>
            </w:r>
            <w:r>
              <w:rPr>
                <w:rFonts w:hint="eastAsia" w:ascii="仿宋" w:hAnsi="仿宋" w:eastAsia="仿宋" w:cs="Calibri"/>
                <w:color w:val="000000"/>
              </w:rPr>
              <w:t>2.发布信息时要综合考虑发布的必要性、稳妥性和可靠性。其中,必要性主要考虑党委政府决策参考、社会关注度、产业发展需要、对微观主体指导意义等因素;稳妥性主要把握与同级统计部门及其他职能部门交叉的数据不发布,社会敏感度高、容易造成误读的数据谨慎发布等原则;可靠性要坚持数据经过科学加</w:t>
            </w:r>
            <w:r>
              <w:rPr>
                <w:rFonts w:hint="eastAsia" w:ascii="仿宋" w:hAnsi="仿宋" w:eastAsia="仿宋" w:cs="Calibri"/>
                <w:color w:val="000000"/>
              </w:rPr>
              <w:br w:type="textWrapping"/>
            </w:r>
            <w:r>
              <w:rPr>
                <w:rFonts w:hint="eastAsia" w:ascii="仿宋" w:hAnsi="仿宋" w:eastAsia="仿宋" w:cs="Calibri"/>
                <w:color w:val="000000"/>
              </w:rPr>
              <w:t>权处理、组织相关部门进行数据会商等规范程序。</w:t>
            </w:r>
          </w:p>
        </w:tc>
      </w:tr>
    </w:tbl>
    <w:p>
      <w:pPr>
        <w:rPr>
          <w:rFonts w:ascii="宋体" w:hAnsi="宋体" w:eastAsia="宋体" w:cs="Arial Unicode MS"/>
        </w:rPr>
      </w:pPr>
    </w:p>
    <w:p>
      <w:pPr>
        <w:pStyle w:val="29"/>
      </w:pPr>
    </w:p>
    <w:p>
      <w:pPr>
        <w:pStyle w:val="29"/>
      </w:pPr>
    </w:p>
    <w:p>
      <w:pPr>
        <w:pStyle w:val="29"/>
      </w:pPr>
    </w:p>
    <w:p>
      <w:pPr>
        <w:pStyle w:val="29"/>
      </w:pPr>
    </w:p>
    <w:p>
      <w:pPr>
        <w:pStyle w:val="29"/>
      </w:pPr>
    </w:p>
    <w:p>
      <w:pPr>
        <w:pStyle w:val="29"/>
      </w:pPr>
    </w:p>
    <w:p>
      <w:pPr>
        <w:pStyle w:val="29"/>
      </w:pPr>
    </w:p>
    <w:tbl>
      <w:tblPr>
        <w:tblStyle w:val="17"/>
        <w:tblW w:w="0" w:type="auto"/>
        <w:tblInd w:w="113" w:type="dxa"/>
        <w:tblLayout w:type="autofit"/>
        <w:tblCellMar>
          <w:top w:w="0" w:type="dxa"/>
          <w:left w:w="108" w:type="dxa"/>
          <w:bottom w:w="0" w:type="dxa"/>
          <w:right w:w="108" w:type="dxa"/>
        </w:tblCellMar>
      </w:tblPr>
      <w:tblGrid>
        <w:gridCol w:w="2201"/>
        <w:gridCol w:w="6208"/>
      </w:tblGrid>
      <w:tr>
        <w:tblPrEx>
          <w:tblCellMar>
            <w:top w:w="0" w:type="dxa"/>
            <w:left w:w="108" w:type="dxa"/>
            <w:bottom w:w="0" w:type="dxa"/>
            <w:right w:w="108" w:type="dxa"/>
          </w:tblCellMar>
        </w:tblPrEx>
        <w:trPr>
          <w:trHeight w:val="36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仿宋" w:hAnsi="仿宋" w:eastAsia="仿宋" w:cs="Calibri"/>
                <w:b/>
                <w:bCs/>
                <w:color w:val="000000"/>
                <w:sz w:val="28"/>
                <w:szCs w:val="28"/>
              </w:rPr>
            </w:pPr>
            <w:r>
              <w:rPr>
                <w:rFonts w:hint="eastAsia" w:ascii="仿宋" w:hAnsi="仿宋" w:eastAsia="仿宋" w:cs="Calibri"/>
                <w:b/>
                <w:bCs/>
                <w:color w:val="000000"/>
                <w:sz w:val="28"/>
                <w:szCs w:val="28"/>
              </w:rPr>
              <w:t>(二)企业人工成本数据审核评估参考维度</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jc w:val="center"/>
              <w:rPr>
                <w:rFonts w:ascii="仿宋" w:hAnsi="仿宋" w:eastAsia="仿宋" w:cs="Calibri"/>
                <w:b/>
                <w:bCs/>
                <w:color w:val="000000"/>
              </w:rPr>
            </w:pPr>
            <w:r>
              <w:rPr>
                <w:rFonts w:hint="eastAsia" w:ascii="仿宋" w:hAnsi="仿宋" w:eastAsia="仿宋" w:cs="Calibri"/>
                <w:b/>
                <w:bCs/>
                <w:color w:val="000000"/>
              </w:rPr>
              <w:t>评估维度</w:t>
            </w:r>
          </w:p>
        </w:tc>
        <w:tc>
          <w:tcPr>
            <w:tcW w:w="0" w:type="auto"/>
            <w:tcBorders>
              <w:top w:val="nil"/>
              <w:left w:val="nil"/>
              <w:bottom w:val="single" w:color="auto" w:sz="4" w:space="0"/>
              <w:right w:val="single" w:color="auto" w:sz="4" w:space="0"/>
            </w:tcBorders>
            <w:shd w:val="clear" w:color="auto" w:fill="auto"/>
            <w:vAlign w:val="bottom"/>
          </w:tcPr>
          <w:p>
            <w:pPr>
              <w:jc w:val="center"/>
              <w:rPr>
                <w:rFonts w:ascii="仿宋" w:hAnsi="仿宋" w:eastAsia="仿宋" w:cs="Calibri"/>
                <w:b/>
                <w:bCs/>
                <w:color w:val="000000"/>
              </w:rPr>
            </w:pPr>
            <w:r>
              <w:rPr>
                <w:rFonts w:hint="eastAsia" w:ascii="仿宋" w:hAnsi="仿宋" w:eastAsia="仿宋" w:cs="Calibri"/>
                <w:b/>
                <w:bCs/>
                <w:color w:val="000000"/>
              </w:rPr>
              <w:t>评估参考标准</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人均人工成本相对误差</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相对误差原则上不应高于10%</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有效样本数量</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可结合样本测算理论值、有效样本占总体比例及往年调查经验综合确</w:t>
            </w:r>
            <w:r>
              <w:rPr>
                <w:rFonts w:hint="eastAsia" w:ascii="仿宋" w:hAnsi="仿宋" w:eastAsia="仿宋" w:cs="Calibri"/>
                <w:color w:val="000000"/>
              </w:rPr>
              <w:br w:type="textWrapping"/>
            </w:r>
            <w:r>
              <w:rPr>
                <w:rFonts w:hint="eastAsia" w:ascii="仿宋" w:hAnsi="仿宋" w:eastAsia="仿宋" w:cs="Calibri"/>
                <w:color w:val="000000"/>
              </w:rPr>
              <w:t>定各维度有效样本数量低线</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数据年度波动</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原则上各维度中位值数据相比上年波动应小于30%,兼顾考虑其他分位</w:t>
            </w:r>
            <w:r>
              <w:rPr>
                <w:rFonts w:hint="eastAsia" w:ascii="仿宋" w:hAnsi="仿宋" w:eastAsia="仿宋" w:cs="Calibri"/>
                <w:color w:val="000000"/>
              </w:rPr>
              <w:br w:type="textWrapping"/>
            </w:r>
            <w:r>
              <w:rPr>
                <w:rFonts w:hint="eastAsia" w:ascii="仿宋" w:hAnsi="仿宋" w:eastAsia="仿宋" w:cs="Calibri"/>
                <w:color w:val="000000"/>
              </w:rPr>
              <w:t>值波动特别是各分位值变化趋势相反的情况</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人工成本中位值排名</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原则上年度间人工成本中位值排名在同一维度应保持相对稳定,波动</w:t>
            </w:r>
            <w:r>
              <w:rPr>
                <w:rFonts w:hint="eastAsia" w:ascii="仿宋" w:hAnsi="仿宋" w:eastAsia="仿宋" w:cs="Calibri"/>
                <w:color w:val="000000"/>
              </w:rPr>
              <w:br w:type="textWrapping"/>
            </w:r>
            <w:r>
              <w:rPr>
                <w:rFonts w:hint="eastAsia" w:ascii="仿宋" w:hAnsi="仿宋" w:eastAsia="仿宋" w:cs="Calibri"/>
                <w:color w:val="000000"/>
              </w:rPr>
              <w:t>位次预警线可结合分析维度层数确定</w:t>
            </w:r>
          </w:p>
        </w:tc>
      </w:tr>
      <w:tr>
        <w:tblPrEx>
          <w:tblCellMar>
            <w:top w:w="0" w:type="dxa"/>
            <w:left w:w="108" w:type="dxa"/>
            <w:bottom w:w="0" w:type="dxa"/>
            <w:right w:w="108" w:type="dxa"/>
          </w:tblCellMar>
        </w:tblPrEx>
        <w:trPr>
          <w:trHeight w:val="6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与全国和周边地区比较</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可结合本地经济社会发展水平、全国及周边地区调查的相同维度的数</w:t>
            </w:r>
            <w:r>
              <w:rPr>
                <w:rFonts w:hint="eastAsia" w:ascii="仿宋" w:hAnsi="仿宋" w:eastAsia="仿宋" w:cs="Calibri"/>
                <w:color w:val="000000"/>
              </w:rPr>
              <w:br w:type="textWrapping"/>
            </w:r>
            <w:r>
              <w:rPr>
                <w:rFonts w:hint="eastAsia" w:ascii="仿宋" w:hAnsi="仿宋" w:eastAsia="仿宋" w:cs="Calibri"/>
                <w:color w:val="000000"/>
              </w:rPr>
              <w:t>据综合确定本级调查数据的合理区间</w:t>
            </w:r>
          </w:p>
        </w:tc>
      </w:tr>
      <w:tr>
        <w:tblPrEx>
          <w:tblCellMar>
            <w:top w:w="0" w:type="dxa"/>
            <w:left w:w="108" w:type="dxa"/>
            <w:bottom w:w="0" w:type="dxa"/>
            <w:right w:w="108" w:type="dxa"/>
          </w:tblCellMar>
        </w:tblPrEx>
        <w:trPr>
          <w:trHeight w:val="124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与同级统计部门相关数</w:t>
            </w:r>
            <w:r>
              <w:rPr>
                <w:rFonts w:hint="eastAsia" w:ascii="仿宋" w:hAnsi="仿宋" w:eastAsia="仿宋" w:cs="Calibri"/>
                <w:color w:val="000000"/>
              </w:rPr>
              <w:br w:type="textWrapping"/>
            </w:r>
            <w:r>
              <w:rPr>
                <w:rFonts w:hint="eastAsia" w:ascii="仿宋" w:hAnsi="仿宋" w:eastAsia="仿宋" w:cs="Calibri"/>
                <w:color w:val="000000"/>
              </w:rPr>
              <w:t>据关系</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薪酬调查数据应与本级统计部门公布的相关数据关系合理。</w:t>
            </w:r>
            <w:r>
              <w:rPr>
                <w:rFonts w:hint="eastAsia" w:ascii="仿宋" w:hAnsi="仿宋" w:eastAsia="仿宋" w:cs="Calibri"/>
                <w:color w:val="000000"/>
              </w:rPr>
              <w:br w:type="textWrapping"/>
            </w:r>
            <w:r>
              <w:rPr>
                <w:rFonts w:hint="eastAsia" w:ascii="仿宋" w:hAnsi="仿宋" w:eastAsia="仿宋" w:cs="Calibri"/>
                <w:color w:val="000000"/>
              </w:rPr>
              <w:t>1.调查人工成本高位数≥统计局非私营单位工资平均数;</w:t>
            </w:r>
            <w:r>
              <w:rPr>
                <w:rFonts w:hint="eastAsia" w:ascii="仿宋" w:hAnsi="仿宋" w:eastAsia="仿宋" w:cs="Calibri"/>
                <w:color w:val="000000"/>
              </w:rPr>
              <w:br w:type="textWrapping"/>
            </w:r>
            <w:r>
              <w:rPr>
                <w:rFonts w:hint="eastAsia" w:ascii="仿宋" w:hAnsi="仿宋" w:eastAsia="仿宋" w:cs="Calibri"/>
                <w:color w:val="000000"/>
              </w:rPr>
              <w:t>2.私营单位平均工资≤调查人工成本中位数≤非私营单位平均工资*2</w:t>
            </w:r>
          </w:p>
        </w:tc>
      </w:tr>
      <w:tr>
        <w:tblPrEx>
          <w:tblCellMar>
            <w:top w:w="0" w:type="dxa"/>
            <w:left w:w="108" w:type="dxa"/>
            <w:bottom w:w="0" w:type="dxa"/>
            <w:right w:w="108" w:type="dxa"/>
          </w:tblCellMar>
        </w:tblPrEx>
        <w:trPr>
          <w:trHeight w:val="320" w:hRule="atLeast"/>
        </w:trPr>
        <w:tc>
          <w:tcPr>
            <w:tcW w:w="0" w:type="auto"/>
            <w:tcBorders>
              <w:top w:val="nil"/>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　</w:t>
            </w:r>
          </w:p>
        </w:tc>
        <w:tc>
          <w:tcPr>
            <w:tcW w:w="0" w:type="auto"/>
            <w:tcBorders>
              <w:top w:val="nil"/>
              <w:left w:val="nil"/>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　</w:t>
            </w:r>
          </w:p>
        </w:tc>
      </w:tr>
      <w:tr>
        <w:tblPrEx>
          <w:tblCellMar>
            <w:top w:w="0" w:type="dxa"/>
            <w:left w:w="108" w:type="dxa"/>
            <w:bottom w:w="0" w:type="dxa"/>
            <w:right w:w="108" w:type="dxa"/>
          </w:tblCellMar>
        </w:tblPrEx>
        <w:trPr>
          <w:trHeight w:val="1080"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bottom"/>
          </w:tcPr>
          <w:p>
            <w:pPr>
              <w:rPr>
                <w:rFonts w:ascii="仿宋" w:hAnsi="仿宋" w:eastAsia="仿宋" w:cs="Calibri"/>
                <w:color w:val="000000"/>
              </w:rPr>
            </w:pPr>
            <w:r>
              <w:rPr>
                <w:rFonts w:hint="eastAsia" w:ascii="仿宋" w:hAnsi="仿宋" w:eastAsia="仿宋" w:cs="Calibri"/>
                <w:color w:val="000000"/>
              </w:rPr>
              <w:t>注:1.上述审核评估条件以相对误差大小为基本原则,其他审核条件可综合参考;</w:t>
            </w:r>
            <w:r>
              <w:rPr>
                <w:rFonts w:hint="eastAsia" w:ascii="仿宋" w:hAnsi="仿宋" w:eastAsia="仿宋" w:cs="Calibri"/>
                <w:color w:val="000000"/>
              </w:rPr>
              <w:br w:type="textWrapping"/>
            </w:r>
            <w:r>
              <w:rPr>
                <w:rFonts w:hint="eastAsia" w:ascii="仿宋" w:hAnsi="仿宋" w:eastAsia="仿宋" w:cs="Calibri"/>
                <w:color w:val="000000"/>
              </w:rPr>
              <w:t>2.由于人工成本效益类指标没有横向可比数据,可从分层相对误差、年度波</w:t>
            </w:r>
            <w:r>
              <w:rPr>
                <w:rFonts w:hint="eastAsia" w:ascii="仿宋" w:hAnsi="仿宋" w:eastAsia="仿宋" w:cs="Calibri"/>
                <w:color w:val="000000"/>
              </w:rPr>
              <w:br w:type="textWrapping"/>
            </w:r>
            <w:r>
              <w:rPr>
                <w:rFonts w:hint="eastAsia" w:ascii="仿宋" w:hAnsi="仿宋" w:eastAsia="仿宋" w:cs="Calibri"/>
                <w:color w:val="000000"/>
              </w:rPr>
              <w:t>动幅度、与全国及周边地区比较等方面判断数据质量。</w:t>
            </w:r>
          </w:p>
        </w:tc>
      </w:tr>
    </w:tbl>
    <w:p/>
    <w:p>
      <w:pPr>
        <w:widowControl/>
        <w:jc w:val="left"/>
      </w:pPr>
      <w:r>
        <w:br w:type="page"/>
      </w:r>
    </w:p>
    <w:p>
      <w:pPr>
        <w:pStyle w:val="4"/>
        <w:spacing w:before="0" w:after="0" w:line="240" w:lineRule="auto"/>
        <w:rPr>
          <w:rFonts w:ascii="楷体" w:hAnsi="楷体" w:eastAsia="楷体" w:cs="楷体"/>
          <w:b w:val="0"/>
          <w:bCs w:val="0"/>
        </w:rPr>
      </w:pPr>
      <w:bookmarkStart w:id="166" w:name="_Toc93509819"/>
      <w:r>
        <w:rPr>
          <w:rFonts w:hint="eastAsia" w:ascii="楷体" w:hAnsi="楷体" w:eastAsia="楷体" w:cs="楷体"/>
          <w:b w:val="0"/>
          <w:bCs w:val="0"/>
        </w:rPr>
        <w:t>附录2</w:t>
      </w:r>
      <w:r>
        <w:rPr>
          <w:rFonts w:ascii="楷体" w:hAnsi="楷体" w:eastAsia="楷体" w:cs="楷体"/>
          <w:b w:val="0"/>
          <w:bCs w:val="0"/>
        </w:rPr>
        <w:t xml:space="preserve">  </w:t>
      </w:r>
      <w:r>
        <w:rPr>
          <w:rFonts w:hint="eastAsia" w:ascii="楷体" w:hAnsi="楷体" w:eastAsia="楷体" w:cs="楷体"/>
          <w:b w:val="0"/>
          <w:bCs w:val="0"/>
        </w:rPr>
        <w:t>统计法规</w:t>
      </w:r>
      <w:bookmarkEnd w:id="166"/>
      <w:r>
        <w:rPr>
          <w:rFonts w:hint="eastAsia" w:ascii="楷体" w:hAnsi="楷体" w:eastAsia="楷体" w:cs="楷体"/>
          <w:b w:val="0"/>
          <w:bCs w:val="0"/>
        </w:rPr>
        <w:t xml:space="preserve">资料参考 </w:t>
      </w:r>
    </w:p>
    <w:p/>
    <w:p>
      <w:pPr>
        <w:pStyle w:val="29"/>
        <w:spacing w:line="400" w:lineRule="exact"/>
        <w:rPr>
          <w:rFonts w:ascii="仿宋" w:hAnsi="仿宋" w:eastAsia="仿宋" w:cs="仿宋"/>
          <w:b/>
          <w:bCs/>
        </w:rPr>
      </w:pPr>
      <w:r>
        <w:rPr>
          <w:rFonts w:hint="eastAsia" w:ascii="仿宋" w:hAnsi="仿宋" w:eastAsia="仿宋" w:cs="仿宋"/>
          <w:b/>
          <w:bCs/>
        </w:rPr>
        <w:t>《中华人民共和国统计法》（部分）</w:t>
      </w:r>
    </w:p>
    <w:p>
      <w:pPr>
        <w:numPr>
          <w:ilvl w:val="0"/>
          <w:numId w:val="8"/>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第九条</w:t>
      </w:r>
      <w:r>
        <w:rPr>
          <w:rFonts w:hint="eastAsia" w:ascii="仿宋" w:hAnsi="仿宋" w:eastAsia="仿宋" w:cs="仿宋"/>
          <w:color w:val="000000"/>
          <w:sz w:val="24"/>
          <w:shd w:val="clear" w:color="auto" w:fill="FFFFFF" w:themeFill="background1"/>
        </w:rPr>
        <w:t>　统计机构和统计人员对在统计工作中知悉的国家秘密、商业秘密和个人信息，应当予以保密。</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第二十九条</w:t>
      </w:r>
      <w:r>
        <w:rPr>
          <w:rFonts w:hint="eastAsia" w:ascii="仿宋" w:hAnsi="仿宋" w:eastAsia="仿宋" w:cs="仿宋"/>
          <w:color w:val="000000"/>
          <w:sz w:val="24"/>
          <w:shd w:val="clear" w:color="auto" w:fill="FFFFFF" w:themeFill="background1"/>
        </w:rPr>
        <w:t>　统计机构、统计人员应当依法履行职责，如实搜集、报送统计资料，不得伪造、篡改统计资料，不得以任何方式要求任何单位和个人提供不真实的统计资料，不得有其他违反本法规定的行为。</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统计人员应当坚持实事求是，恪守职业道德，对其负责搜集、审核、录入的统计资料与统计调查对象报送的统计资料的一致性负责。</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第三十条</w:t>
      </w:r>
      <w:r>
        <w:rPr>
          <w:rFonts w:hint="eastAsia" w:ascii="仿宋" w:hAnsi="仿宋" w:eastAsia="仿宋" w:cs="仿宋"/>
          <w:color w:val="000000"/>
          <w:sz w:val="24"/>
          <w:shd w:val="clear" w:color="auto" w:fill="FFFFFF" w:themeFill="background1"/>
        </w:rPr>
        <w:t>　统计人员进行统计调查时，有权就与统计有关的问题询问有关人员，要求其如实提供有关情况、资料并改正不真实、不准确的资料。</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第三十八条</w:t>
      </w:r>
      <w:r>
        <w:rPr>
          <w:rFonts w:hint="eastAsia" w:ascii="仿宋" w:hAnsi="仿宋" w:eastAsia="仿宋" w:cs="仿宋"/>
          <w:color w:val="000000"/>
          <w:sz w:val="24"/>
          <w:shd w:val="clear" w:color="auto" w:fill="FFFFFF" w:themeFill="background1"/>
        </w:rPr>
        <w:t>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（一）未经批准擅自组织实施统计调查的；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（二）未经批准擅自变更统计调查制度的内容的；</w:t>
      </w:r>
    </w:p>
    <w:p>
      <w:pPr>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xml:space="preserve">    （三）伪造、篡改统计资料的；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（四）要求统计调查对象或者其他机构、人员提供不真实的统计资料的；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（五）未按照统计调查制度的规定报送有关资料的。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统计人员有前款第三项至第五项所列行为之一的，责令改正，依法给予处分。</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第四十一条</w:t>
      </w:r>
      <w:r>
        <w:rPr>
          <w:rFonts w:hint="eastAsia" w:ascii="仿宋" w:hAnsi="仿宋" w:eastAsia="仿宋" w:cs="仿宋"/>
          <w:color w:val="000000"/>
          <w:sz w:val="24"/>
          <w:shd w:val="clear" w:color="auto" w:fill="FFFFFF" w:themeFill="background1"/>
        </w:rPr>
        <w:t>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（一）拒绝提供统计资料或者经催报后仍未按时提供统计资料的；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（二）提供不真实或者不完整的统计资料的；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（三）拒绝答复或者不如实答复统计检查查询书的；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（四）拒绝、阻碍统计调查、统计检查的；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（五）转移、隐匿、篡改、毁弃或者拒绝提供原始记录和凭证、统计台账、统计调查表及其他相关证明和资料的。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企业事业单位或者其他组织有前款所列行为之一的，可以并处五万元以下的罚款；情节严重的，并处五万元以上二十万元以下的罚款。</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个体工商户有本条第一款所列行为之一的，由县级以上人民政府统计机构责令改正，给予警告，可以并处一万元以下的罚款。</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p>
    <w:p>
      <w:pPr>
        <w:pStyle w:val="29"/>
        <w:spacing w:line="400" w:lineRule="exact"/>
        <w:rPr>
          <w:rFonts w:ascii="仿宋" w:hAnsi="仿宋" w:eastAsia="仿宋" w:cs="仿宋"/>
          <w:b/>
          <w:bCs/>
          <w:color w:val="000000"/>
          <w:shd w:val="clear" w:color="auto" w:fill="FFFFFF" w:themeFill="background1"/>
        </w:rPr>
      </w:pPr>
      <w:r>
        <w:rPr>
          <w:rFonts w:hint="eastAsia" w:ascii="仿宋" w:hAnsi="仿宋" w:eastAsia="仿宋" w:cs="仿宋"/>
          <w:b/>
          <w:bCs/>
          <w:shd w:val="clear" w:color="auto" w:fill="FFFFFF" w:themeFill="background1"/>
        </w:rPr>
        <w:t>《中华人民共和国统计法实施条例》（部分）</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第二十七条</w:t>
      </w:r>
      <w:r>
        <w:rPr>
          <w:rFonts w:hint="eastAsia" w:ascii="仿宋" w:hAnsi="仿宋" w:eastAsia="仿宋" w:cs="仿宋"/>
          <w:color w:val="000000"/>
          <w:sz w:val="24"/>
          <w:shd w:val="clear" w:color="auto" w:fill="FFFFFF" w:themeFill="background1"/>
        </w:rPr>
        <w:t>　县级以上人民政府统计机构和有关部门应当及时公布主要统计指标涵义、调查范围、调查方法、计算方法、抽样调查样本量等信息，对统计数据进行解释说明。</w:t>
      </w:r>
    </w:p>
    <w:p>
      <w:pPr>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第三十条</w:t>
      </w:r>
      <w:r>
        <w:rPr>
          <w:rFonts w:hint="eastAsia" w:ascii="仿宋" w:hAnsi="仿宋" w:eastAsia="仿宋" w:cs="仿宋"/>
          <w:color w:val="000000"/>
          <w:sz w:val="24"/>
          <w:shd w:val="clear" w:color="auto" w:fill="FFFFFF" w:themeFill="background1"/>
        </w:rPr>
        <w:t>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p>
    <w:p>
      <w:pPr>
        <w:pStyle w:val="29"/>
        <w:spacing w:line="400" w:lineRule="exact"/>
        <w:rPr>
          <w:rFonts w:ascii="仿宋" w:hAnsi="仿宋" w:eastAsia="仿宋" w:cs="仿宋"/>
          <w:b/>
          <w:bCs/>
          <w:shd w:val="clear" w:color="auto" w:fill="FFFFFF" w:themeFill="background1"/>
        </w:rPr>
      </w:pPr>
      <w:r>
        <w:rPr>
          <w:rFonts w:hint="eastAsia" w:ascii="仿宋" w:hAnsi="仿宋" w:eastAsia="仿宋" w:cs="仿宋"/>
          <w:b/>
          <w:bCs/>
          <w:shd w:val="clear" w:color="auto" w:fill="FFFFFF" w:themeFill="background1"/>
        </w:rPr>
        <w:t>《统计上严重失信企业信息公示暂行办法》</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第一条</w:t>
      </w:r>
      <w:r>
        <w:rPr>
          <w:rFonts w:hint="eastAsia" w:ascii="仿宋" w:hAnsi="仿宋" w:eastAsia="仿宋" w:cs="仿宋"/>
          <w:color w:val="000000"/>
          <w:sz w:val="24"/>
          <w:shd w:val="clear" w:color="auto" w:fill="FFFFFF" w:themeFill="background1"/>
        </w:rPr>
        <w:t> 为贯彻落实《中共中央关于全面推进依法治国若干重大问题的决定》和</w:t>
      </w:r>
      <w:r>
        <w:rPr>
          <w:rFonts w:hint="eastAsia" w:ascii="仿宋" w:hAnsi="仿宋" w:eastAsia="仿宋" w:cs="仿宋"/>
          <w:color w:val="000000"/>
          <w:sz w:val="24"/>
          <w:shd w:val="clear" w:color="auto" w:fill="FFFFFF" w:themeFill="background1"/>
          <w:lang w:eastAsia="zh-CN"/>
        </w:rPr>
        <w:t>《中华人民共和国统计法》</w:t>
      </w:r>
      <w:r>
        <w:rPr>
          <w:rFonts w:hint="eastAsia" w:ascii="仿宋" w:hAnsi="仿宋" w:eastAsia="仿宋" w:cs="仿宋"/>
          <w:color w:val="000000"/>
          <w:sz w:val="24"/>
          <w:shd w:val="clear" w:color="auto" w:fill="FFFFFF" w:themeFill="background1"/>
        </w:rPr>
        <w:t>《企业信息公示暂行条例》《社会信用体系建设规划纲要(2014—2020年)》，加强依法统计，推进诚信统计，建立保障企业独立真实报送统计信息长效机制，提高统计数据质量和政府统计公信力，制定本办法。</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第二条 </w:t>
      </w:r>
      <w:r>
        <w:rPr>
          <w:rFonts w:hint="eastAsia" w:ascii="仿宋" w:hAnsi="仿宋" w:eastAsia="仿宋" w:cs="仿宋"/>
          <w:color w:val="000000"/>
          <w:sz w:val="24"/>
          <w:shd w:val="clear" w:color="auto" w:fill="FFFFFF" w:themeFill="background1"/>
        </w:rPr>
        <w:t>本办法所称统计上严重失信企业，是指在依法开展的政府统计调查中，有下列情形之一的企业：</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(一) 编造虚假统计数据；</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(二) 虚报、瞒报统计数据数额较大或者虚报率、瞒报率较高；</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(三) 有其他严重统计违法行为，应当受到行政处罚。</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第三条</w:t>
      </w:r>
      <w:r>
        <w:rPr>
          <w:rFonts w:hint="eastAsia" w:ascii="仿宋" w:hAnsi="仿宋" w:eastAsia="仿宋" w:cs="仿宋"/>
          <w:color w:val="000000"/>
          <w:sz w:val="24"/>
          <w:shd w:val="clear" w:color="auto" w:fill="FFFFFF" w:themeFill="background1"/>
        </w:rPr>
        <w:t> 对依法认定的统计上严重失信企业，政府统计机构应当通过中国统计信息网，向社会公示失信企业信息。</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公示的失信企业信息包括企业名称、地址、法定代表人或者主要负责人、统计违法行为、依法处理情况等。</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第四条</w:t>
      </w:r>
      <w:r>
        <w:rPr>
          <w:rFonts w:hint="eastAsia" w:ascii="仿宋" w:hAnsi="仿宋" w:eastAsia="仿宋" w:cs="仿宋"/>
          <w:color w:val="000000"/>
          <w:sz w:val="24"/>
          <w:shd w:val="clear" w:color="auto" w:fill="FFFFFF" w:themeFill="background1"/>
        </w:rPr>
        <w:t> 公示失信企业信息应当遵循合法真实、公正及时、鼓励诚信的原则。</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第五条</w:t>
      </w:r>
      <w:r>
        <w:rPr>
          <w:rFonts w:hint="eastAsia" w:ascii="仿宋" w:hAnsi="仿宋" w:eastAsia="仿宋" w:cs="仿宋"/>
          <w:color w:val="000000"/>
          <w:sz w:val="24"/>
          <w:shd w:val="clear" w:color="auto" w:fill="FFFFFF" w:themeFill="background1"/>
        </w:rPr>
        <w:t> 国家统计局组织管理全国统计上严重失信企业信息公示工作，在中国统计信息网上直接公示特别严重的失信企业信息。</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省级统计机构在其门户网站建立统计上严重失信企业信息公示专栏，统一链接到中国统计信息网。省、市、县级统计机构按照</w:t>
      </w:r>
      <w:r>
        <w:rPr>
          <w:rFonts w:hint="eastAsia" w:ascii="仿宋" w:hAnsi="仿宋" w:eastAsia="仿宋" w:cs="仿宋"/>
          <w:color w:val="000000"/>
          <w:sz w:val="24"/>
          <w:shd w:val="clear" w:color="auto" w:fill="FFFFFF" w:themeFill="background1"/>
          <w:lang w:eastAsia="zh-CN"/>
        </w:rPr>
        <w:t>《中华人民共和国统计法》</w:t>
      </w:r>
      <w:r>
        <w:rPr>
          <w:rFonts w:hint="eastAsia" w:ascii="仿宋" w:hAnsi="仿宋" w:eastAsia="仿宋" w:cs="仿宋"/>
          <w:color w:val="000000"/>
          <w:sz w:val="24"/>
          <w:shd w:val="clear" w:color="auto" w:fill="FFFFFF" w:themeFill="background1"/>
        </w:rPr>
        <w:t>规定的查处统计违法行为职责分工，在本级或者上级统计机构门户网站向社会公示失信企业信息，同时加载到省级统计机构失信企业信息公示专栏。</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第六条 </w:t>
      </w:r>
      <w:r>
        <w:rPr>
          <w:rFonts w:hint="eastAsia" w:ascii="仿宋" w:hAnsi="仿宋" w:eastAsia="仿宋" w:cs="仿宋"/>
          <w:color w:val="000000"/>
          <w:sz w:val="24"/>
          <w:shd w:val="clear" w:color="auto" w:fill="FFFFFF" w:themeFill="background1"/>
        </w:rPr>
        <w:t>政府统计机构自依法认定失信企业之日起20个工作日内公示失信企业信息。</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对严重失信企业和严重干预企业独立真实报送统计数据的单位、个人，依法追究责任。</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第七条</w:t>
      </w:r>
      <w:r>
        <w:rPr>
          <w:rFonts w:hint="eastAsia" w:ascii="仿宋" w:hAnsi="仿宋" w:eastAsia="仿宋" w:cs="仿宋"/>
          <w:color w:val="000000"/>
          <w:sz w:val="24"/>
          <w:shd w:val="clear" w:color="auto" w:fill="FFFFFF" w:themeFill="background1"/>
        </w:rPr>
        <w:t> 失信企业信息公示期限为1年。在公示期间，企业认真整改到位，经企业申请，履行公示职责的政府统计机构核实后，可以从公示网站提前移除失信企业信息，但公示时间不得少于6个月。企业整改不到位，公示期限延长至2年。</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在失信企业信息公示期间，政府统计机构应当重点检查企业遵守统计法情况，再次发现企业有统计违法行为的，公示期限延长至2年。</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第八条</w:t>
      </w:r>
      <w:r>
        <w:rPr>
          <w:rFonts w:hint="eastAsia" w:ascii="仿宋" w:hAnsi="仿宋" w:eastAsia="仿宋" w:cs="仿宋"/>
          <w:color w:val="000000"/>
          <w:sz w:val="24"/>
          <w:shd w:val="clear" w:color="auto" w:fill="FFFFFF" w:themeFill="background1"/>
        </w:rPr>
        <w:t> 政府统计机构应当按照《企业信息公示暂行条例》《社会信用体系建设规划纲要(2014—2020年)》等国家有关规定，将统计上严重失信企业信息纳入金融、工商等行业和部门信用信息系统，与企业融资、政府补贴、工商注册管理等挂钩。</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第九条</w:t>
      </w:r>
      <w:r>
        <w:rPr>
          <w:rFonts w:hint="eastAsia" w:ascii="仿宋" w:hAnsi="仿宋" w:eastAsia="仿宋" w:cs="仿宋"/>
          <w:color w:val="000000"/>
          <w:sz w:val="24"/>
          <w:shd w:val="clear" w:color="auto" w:fill="FFFFFF" w:themeFill="background1"/>
        </w:rPr>
        <w:t> 下级统计机构未按照本办法履行职责的，由上级统计机构责令改正；情节严重的，对负有责任的主管人员和其他直接责任人员依法给予处分。</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第十条</w:t>
      </w:r>
      <w:r>
        <w:rPr>
          <w:rFonts w:hint="eastAsia" w:ascii="仿宋" w:hAnsi="仿宋" w:eastAsia="仿宋" w:cs="仿宋"/>
          <w:color w:val="000000"/>
          <w:sz w:val="24"/>
          <w:shd w:val="clear" w:color="auto" w:fill="FFFFFF" w:themeFill="background1"/>
        </w:rPr>
        <w:t> 政府统计机构发现公示的失信企业信息不准确的，应当及时更正。公民、法人或者其他组织有证据证明政府统计机构公示的失信企业信息不准确的，有权要求政府统计机构予以更正。</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第十一条</w:t>
      </w:r>
      <w:r>
        <w:rPr>
          <w:rFonts w:hint="eastAsia" w:ascii="仿宋" w:hAnsi="仿宋" w:eastAsia="仿宋" w:cs="仿宋"/>
          <w:color w:val="000000"/>
          <w:sz w:val="24"/>
          <w:shd w:val="clear" w:color="auto" w:fill="FFFFFF" w:themeFill="background1"/>
        </w:rPr>
        <w:t> 鼓励公民、法人或者其他组织举报统计上严重失信企业和其他统计违法行为，对举报者依法予以保护。</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第十二条 </w:t>
      </w:r>
      <w:r>
        <w:rPr>
          <w:rFonts w:hint="eastAsia" w:ascii="仿宋" w:hAnsi="仿宋" w:eastAsia="仿宋" w:cs="仿宋"/>
          <w:color w:val="000000"/>
          <w:sz w:val="24"/>
          <w:shd w:val="clear" w:color="auto" w:fill="FFFFFF" w:themeFill="background1"/>
        </w:rPr>
        <w:t>公民、法人或者其他组织认为政府统计机构在公示失信企业信息工作中的具体行政行为侵犯其合法权益的，可以依法申请行政复议或者提起行政诉讼。</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第十三条</w:t>
      </w:r>
      <w:r>
        <w:rPr>
          <w:rFonts w:hint="eastAsia" w:ascii="仿宋" w:hAnsi="仿宋" w:eastAsia="仿宋" w:cs="仿宋"/>
          <w:color w:val="000000"/>
          <w:sz w:val="24"/>
          <w:shd w:val="clear" w:color="auto" w:fill="FFFFFF" w:themeFill="background1"/>
        </w:rPr>
        <w:t> 企业报送的统计资料异常且不能做合理解释的，由政府统计机构列入统计信用异常企业名录，告诫企业自我检查更正。</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企业认真整改到位，由政府统计机构从统计信用异常企业名录移除；企业整改不到位，经依法查实具有严重统计违法行为的，将作为统计上严重失信企业，由政府统计机构公示失信企业信息。</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第十四条</w:t>
      </w:r>
      <w:r>
        <w:rPr>
          <w:rFonts w:hint="eastAsia" w:ascii="仿宋" w:hAnsi="仿宋" w:eastAsia="仿宋" w:cs="仿宋"/>
          <w:color w:val="000000"/>
          <w:sz w:val="24"/>
          <w:shd w:val="clear" w:color="auto" w:fill="FFFFFF" w:themeFill="background1"/>
        </w:rPr>
        <w:t> 本办法适用于在各级人民政府、县级以上人民政府统计机构组织实施的统计活动中，统计上严重失信企业的信息公示。</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在上述统计活动中严重失信的其他组织，其信息公示参照本办法执行。</w:t>
      </w:r>
    </w:p>
    <w:p>
      <w:pPr>
        <w:shd w:val="clear" w:color="auto" w:fill="FFFFFF"/>
        <w:adjustRightInd w:val="0"/>
        <w:snapToGrid w:val="0"/>
        <w:spacing w:line="400" w:lineRule="exact"/>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　　</w:t>
      </w:r>
      <w:r>
        <w:rPr>
          <w:rFonts w:hint="eastAsia" w:ascii="仿宋" w:hAnsi="仿宋" w:eastAsia="仿宋" w:cs="仿宋"/>
          <w:b/>
          <w:bCs/>
          <w:color w:val="000000"/>
          <w:sz w:val="24"/>
          <w:shd w:val="clear" w:color="auto" w:fill="FFFFFF" w:themeFill="background1"/>
        </w:rPr>
        <w:t>第十五条</w:t>
      </w:r>
      <w:r>
        <w:rPr>
          <w:rFonts w:hint="eastAsia" w:ascii="仿宋" w:hAnsi="仿宋" w:eastAsia="仿宋" w:cs="仿宋"/>
          <w:color w:val="000000"/>
          <w:sz w:val="24"/>
          <w:shd w:val="clear" w:color="auto" w:fill="FFFFFF" w:themeFill="background1"/>
        </w:rPr>
        <w:t> 本办法由国家统计局负责解释。</w:t>
      </w:r>
    </w:p>
    <w:p>
      <w:pPr>
        <w:shd w:val="clear" w:color="auto" w:fill="FFFFFF"/>
        <w:adjustRightInd w:val="0"/>
        <w:snapToGrid w:val="0"/>
        <w:spacing w:line="400" w:lineRule="exact"/>
        <w:ind w:firstLine="482" w:firstLineChars="200"/>
        <w:rPr>
          <w:rFonts w:ascii="仿宋" w:hAnsi="仿宋" w:eastAsia="仿宋" w:cs="仿宋"/>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第十六条</w:t>
      </w:r>
      <w:r>
        <w:rPr>
          <w:rFonts w:hint="eastAsia" w:ascii="仿宋" w:hAnsi="仿宋" w:eastAsia="仿宋" w:cs="仿宋"/>
          <w:color w:val="000000"/>
          <w:sz w:val="24"/>
          <w:shd w:val="clear" w:color="auto" w:fill="FFFFFF" w:themeFill="background1"/>
        </w:rPr>
        <w:t> 本办法自2015年1月1日起施行。</w:t>
      </w:r>
    </w:p>
    <w:p>
      <w:pPr>
        <w:shd w:val="clear" w:color="auto" w:fill="FFFFFF"/>
        <w:adjustRightInd w:val="0"/>
        <w:snapToGrid w:val="0"/>
        <w:spacing w:line="400" w:lineRule="exact"/>
        <w:ind w:firstLine="640"/>
        <w:rPr>
          <w:rFonts w:ascii="仿宋" w:hAnsi="仿宋" w:eastAsia="仿宋" w:cs="仿宋"/>
          <w:color w:val="000000"/>
          <w:sz w:val="24"/>
          <w:shd w:val="clear" w:color="auto" w:fill="F0F5FE"/>
        </w:rPr>
      </w:pPr>
    </w:p>
    <w:p>
      <w:pPr>
        <w:shd w:val="clear" w:color="auto" w:fill="FFFFFF"/>
        <w:adjustRightInd w:val="0"/>
        <w:snapToGrid w:val="0"/>
        <w:spacing w:line="400" w:lineRule="exact"/>
        <w:ind w:firstLine="640"/>
        <w:rPr>
          <w:rFonts w:ascii="仿宋" w:hAnsi="仿宋" w:eastAsia="仿宋" w:cs="仿宋"/>
          <w:color w:val="000000"/>
          <w:sz w:val="24"/>
          <w:shd w:val="clear" w:color="auto" w:fill="F0F5FE"/>
        </w:rPr>
      </w:pPr>
    </w:p>
    <w:p>
      <w:pPr>
        <w:pStyle w:val="29"/>
        <w:spacing w:line="400" w:lineRule="exact"/>
        <w:rPr>
          <w:rFonts w:ascii="仿宋" w:hAnsi="仿宋" w:eastAsia="仿宋" w:cs="仿宋"/>
          <w:b/>
          <w:bCs/>
          <w:color w:val="000000"/>
          <w:kern w:val="2"/>
          <w:shd w:val="clear" w:color="auto" w:fill="F0F5FE"/>
        </w:rPr>
      </w:pPr>
      <w:r>
        <w:rPr>
          <w:rFonts w:hint="eastAsia" w:ascii="仿宋" w:hAnsi="仿宋" w:eastAsia="仿宋" w:cs="仿宋"/>
          <w:b/>
          <w:bCs/>
        </w:rPr>
        <w:t>关于对统计领域严重失信企业及其有关人员开展联合惩戒的合作备忘录</w:t>
      </w:r>
      <w:r>
        <w:rPr>
          <w:rFonts w:hint="eastAsia" w:ascii="仿宋" w:hAnsi="仿宋" w:eastAsia="仿宋" w:cs="仿宋"/>
          <w:b/>
          <w:bCs/>
          <w:color w:val="000000"/>
          <w:kern w:val="2"/>
          <w:shd w:val="clear" w:color="auto" w:fill="FFFFFF" w:themeFill="background1"/>
        </w:rPr>
        <w:t>（部分）</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一、联合惩戒对象</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联合惩戒的对象为存在下列失信行为，经统计部门根据《企业统计信用管理办法》《统计从业人员统计信用档案管理办法》等有关规定，依法认定并通过国家统计局网站公示的统计严重失信企业（以下简称失信企业）及其法定代表人、主要负责人和其他负有直接责任人员（以下简称失信人员）。</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（一）在依法开展的政府统计调查中，编造虚假统计数据；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（二）提供不真实统计资料，违法数额占应报数额比例较高，或者违法数额较大；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（三）在统计机构履行监督检查职责时，不如实反映情况、提供相关证明和资料且造成较严重后果，或者提供虚假情况、证明和资料；</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（四）拒绝、阻碍统计调查和统计检查，情节严重；</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（五）转移、隐匿、篡改、毁弃或者拒绝提供原始记录和凭证、统计台账、统计调查表以及其他相关证明和资料等。</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二、联合惩戒措施</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（一）依据统计法对失信企业及失信人员采取以下惩戒措施：</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1.对失信企业依法作出行政处罚；</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2.通过国家统计局网站、“信用中国”网站、国家企业信用信息公示</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系统向社会公示失信企业和失信人员信息；3</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3.将失信企业列为重点监督检查对象，再次发现有统计违法行为的，延长公示期限；</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4.对负有责任的属于国家工作人员的领导人员和直接责任人员，按照有关规定移送任免机关、纪检监察机关、组织（人事）部门依纪依法给予处分处理。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（二）依法限制取得财政资金和社会保障资金支持。</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（三）依法限制参加政府投资项目招投标。</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将失信信息作为在股票、可转换债券发行审核及在全国中小企业股份转让系统挂牌公开转让审核的参考。对失信主体注册非金融企业债务融资工具加强管理，并按照注册发行有关工作要求，强化信息披露，加强投资人保护机制，防范有关风险。对申请发行企业债券不予受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（五）暂停审批科技项目；对已经取得高新技术企业资格的，经认定机构核实，取消资格；禁止参与科技型中小企业评价。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（六）依法限制申请外国人来华工作许可、申报引进外国专家项目、引才引智示范基地、出国培训项目等引智项目。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（七）依法限制参与政府采购活动。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（八）依法限制取得政府供应土地及出让探矿权、采矿权。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（九）严格、审慎审批新改扩建项目的环评事项。</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（十）依法限制新增建设项目审批；限制建筑业企业资质；从严审核包括新增许可范围在内的铁路运输企业准入许可。</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（十一）依法限制参与基础设施和公用事业特许经营。</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（十二）依法限制享受财政资金补贴等各类政府优惠政策。</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（十三）依法限制受让收费公路权益。</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（十四）将失信信息作为境内上市公司实行股权激励计划或相关人员成为股权激励对象事中事后监管的参考。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（十五）加大进出口货物监管力度，加强布控查验、后续稽查或统计监督核查。</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（十六）对申请适用海关认证企业管理的，不予通过认证；已经成为认证企业的，按照规定下调企业信用等级。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（十七）将失信状况作为纳税信用评价的重要外部参考。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（十八）依法限制申请认证机构资质（含资质延续）、认证领域扩大；依法限制申请认证（含认证证书延续）；认证机构加大对失信企业的证后监督力度，依法撤销或者暂停相关认证证书。</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（十九）取消申报国家知识产权示范和优势企业资格，取消申报国家专利运营试点企业资格。</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（二十）作为重点监管对象，加大日常监管力度。</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（二十一）依法限制申请设立保安服务公司。</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（二十二）禁止申请信息安全产品和系统测评服务，不颁发证书，不提供技术支撑；不颁发各类信息安全服务资质，禁止其参与国家关键信息基础安全保障建设服务；禁止申请信息安全从业人员资格认定，不颁发 CISP 资格。</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（二十三）申请或享受住房保障时，作为重点核查或监督检查对象。</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（二十四）依法限制从事食品等行业。</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（二十五）作为审批参股、收购商业银行的参考依据。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（二十六）作为保险机构的设立及股权或实际控制人变更审批或备案的参考依据。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（二十七）在上市公司或非上市公众公司收购的事中事后监管中，对失信责任主体予以重点关注。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（二十八）依法将失信责任主体的违法失信记录作为公司债券核准或备案的参考。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（二十九）将失信信息作为非上市公众公司重大资产重组审核的参考。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（三十）将失信信息作为独立基金销售机构审批的参考。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（三十一）核准与管理相关外汇额度及办理部分基于信用的跨境融资业务时，将失信信息作为审慎性参考。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（三十二）取消粮食收购许可，取消中央储备代储资格，不得作为政策性粮食收储委托库点，限制参与政策性粮食竞买。</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（三十三）对企业和个人给予表彰奖励、授予荣誉称号时，参考其统计信用状况，对失信企业和失信人员，不予颁发政府荣誉；及时撤销失信企业和失信人员获得的荣誉称号。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（三十四）依法限制参加各类评先评优。</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（三十五）依法限制招录（聘）为公务员或事业单位工作人员。</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（三十六）失信责任主体是自然人的，依法限制登记为事业单位法定代表人。失信责任主体是机构的，该机构法定代表人依法限制登记为事业单位法定代表人。</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（三十七）依法限制担任国有企业法定代表人、董事、监事。</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八）协助查询反馈统计严重失信人员身份、出入境证件信息；协助查找下落不明但必须接受调查询问的统计失信被执行人；统计严重失信被执行人拒不履行法律文书确定的义务，由人民法院依法限制或者通知有关单位依法限制其出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（三十九）将失信人员有关信息记入个人信用记录和统计从业人员诚信档案，一定期限内不得从事与会计、统计等有关的工作，不能取得会计、统计等有关专业职称。</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（四十）对存在失信记录的相关主体在证券、基金、期货从业资格申请中予以从严审核，对已成为证券、基金、期货从业人员的相关主体予以重点关注。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（四十一）依法限制设立或入股融资担保公司；将失信信息作为证券公司、保险公司、基金管理公司、期货公司等金融机构的董事、监事和高级管理人员及分支机构负责人任职审批或备案的参考。</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十二）在投资等优惠性政策认定，金融机构评级授信、信贷融资、管理和退出，证券公司、基金管理公司及期货公司的设立及股权或实际控制人变更审批或备案，私募投资基金管理人登记、重大事项变更以及基金备案，相关责任人考核、干部选任等时，将失信信息作为重要参考。</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三、联合惩戒的实施方式</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国家统计局及时向全国信用信息共享平台推送统计领域存在严重失信行为的企业及其有关人员相关信息，在国家统计局网站、“信用中国” 网站和国家企业信用信息公示系统向社会公布，并实行动态管理。全国信用信息共享平台向参与本合作备忘录的联合惩戒部门和单位提供相关信息，各有关部门和单位按照本备忘录约定内容，依法依规对失信企业和失信人员实施联合惩戒。涉及地方事权的，签署部门和单位向地方相关部门推送相关信息，地方部门按照本备忘录内容实施联合惩戒。同时，建立惩戒效果定期通报机制，各有关部门和单位定期将联合惩戒实施情况通过全国信用信息共享平台反馈至国家发展改革委和统计局。对于已移出联合惩戒名单的企业和有关人员，相关部门应及时停止实施联合惩戒。</w:t>
      </w:r>
    </w:p>
    <w:p>
      <w:pPr>
        <w:adjustRightInd w:val="0"/>
        <w:snapToGrid w:val="0"/>
        <w:spacing w:line="400" w:lineRule="exact"/>
        <w:rPr>
          <w:rFonts w:ascii="仿宋" w:hAnsi="仿宋" w:eastAsia="仿宋" w:cs="仿宋"/>
          <w:b/>
          <w:kern w:val="44"/>
          <w:sz w:val="24"/>
          <w:shd w:val="clear" w:color="auto" w:fill="FFFFFF" w:themeFill="background1"/>
        </w:rPr>
      </w:pPr>
    </w:p>
    <w:p>
      <w:pPr>
        <w:adjustRightInd w:val="0"/>
        <w:snapToGrid w:val="0"/>
        <w:spacing w:line="400" w:lineRule="exact"/>
        <w:rPr>
          <w:rFonts w:ascii="仿宋" w:hAnsi="仿宋" w:eastAsia="仿宋" w:cs="仿宋"/>
          <w:b/>
          <w:kern w:val="44"/>
          <w:sz w:val="24"/>
          <w:shd w:val="clear" w:color="auto" w:fill="FFFFFF" w:themeFill="background1"/>
        </w:rPr>
      </w:pPr>
    </w:p>
    <w:p>
      <w:pPr>
        <w:adjustRightInd w:val="0"/>
        <w:snapToGrid w:val="0"/>
        <w:spacing w:line="400" w:lineRule="exact"/>
        <w:ind w:firstLine="482" w:firstLineChars="200"/>
        <w:jc w:val="center"/>
        <w:rPr>
          <w:rFonts w:ascii="仿宋" w:hAnsi="仿宋" w:eastAsia="仿宋" w:cs="仿宋"/>
          <w:b/>
          <w:kern w:val="44"/>
          <w:sz w:val="24"/>
          <w:shd w:val="clear" w:color="auto" w:fill="FFFFFF" w:themeFill="background1"/>
        </w:rPr>
      </w:pPr>
      <w:r>
        <w:rPr>
          <w:rFonts w:hint="eastAsia" w:ascii="仿宋" w:hAnsi="仿宋" w:eastAsia="仿宋" w:cs="仿宋"/>
          <w:b/>
          <w:kern w:val="44"/>
          <w:sz w:val="24"/>
          <w:shd w:val="clear" w:color="auto" w:fill="FFFFFF" w:themeFill="background1"/>
        </w:rPr>
        <w:t>国家统计质量保证框架（2021）</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为进一步加强和改进我国政府统计质量管理工作，不断提高统计能力、统计数据质量和政府统计公信力，根据《中华人民共和国统计法》《中华人民共和国统计法实施条例》，借鉴《联合国官方统计国家质量保证框架手册》，现制定《国家统计质量保证框架（2021）》，用于指导各地各部门开展统计工作。</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一、统计质量评价标准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本框架基于统计数据生产全过程，从真实性、准确性、完整性、及时性以及适用性、经济性、可比性、协调性和可获得性等九个方面，对统计数据质量进行综合评价。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（一）真实性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真实性要求统计源头数据必须符合统计调查对象的实际情况，确保统计数据有依据、可溯源。侧重于对基础数据质量的评价。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（二）准确性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准确性要求统计数据的误差必须控制在允许范围内，能够为形势判断、政策制定、宏观调控等提供可靠依据。侧重于对统计数据生产科学性的评价。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（三）完整性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完整性要求统计数据应当全面完整，统计范围不重不漏，统计口径完备无缺。侧重于对统计数据全面系统反映客观实际程度的评价。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（四）及时性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及时性要求统计数据生产应当在符合统计科学规律的前提下，尽可能缩短从调查到公布的时间间隔。侧重于对统计数据生产效率的评价。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（五）适用性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适用性要求统计数据能够最大限度为用户所用，统计指标紧跟时代发展、切合统计需求。侧重于对统计用户满意度的评价。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（六）经济性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经济性要求统计数据生产应当尽可能降低成本，统计调查、行政记录、大数据等数据资源得到充分利用。侧重于对统计数据成本效益的评价。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（七）可比性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可比性要求统计数据应当连续、可比，不同时间、空间数据生产使用规范统一的统计标准和统计原则。侧重于对统计工作标准化、规范化程度的评价。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（八）协调性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协调性要求统计数据结构严谨、逻辑合理，各总量数据、结构数据相互之间高度匹配。侧重于对统计数据间逻辑关系的评价。</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（九）可获得性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可获得性要求多渠道、多方式公布统计数据，同时公布相应的统计制度方法，加强数据解读，满足社会需求。侧重于对统计服务质量的评价。</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二、统计质量全过程控制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统计质量的全过程控制是指对统计业务流程的各环节进行质量管理和控制，确保各环节质量标准得到满足。包括对确定需求、调查设计、核准备案、任务部署、数据采集、数据处理、数据评估、数据公布与传播、统计分析、项目评估等十个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（一）确定需求环节的质量控制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1.准确把握用户需求。分析和权衡现有和潜在的各种统计需求，在资源约束条件下，评估用户需求的必要性和重要程度，确保优先满足最重要的统计需求，并及时向用户反馈评估结果。</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深入分析数据来源。根据统计需求，对现有统计调查数据和行政记录、商业记录、地理空间信息以及各类大数据等其他数据来源进行梳理和评估，分析现有数据来源能够满足用户需求的程度，针对数据缺口研究提出统计调查项目的初步设想以及经费预算需求等，并与相关部门沟通协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科学制定项目计划。根据拟新增调查项目的调查目的、调查任务、进度要求、职责分工以及人财物和技术等保障条件，科学制定统计调查项目计划。邀请有关专家就统计调查项目的必要性、可行性、预期成果及可能产生的影响等方面进行论证，必要时邀请用户代表参加，保证项目计划符合用户需求，切实可行。</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4.定期开展计划评估。建立与统计用户的交流和沟通机制，及时反馈计划执行情况，广泛征求用户意见，根据新情况、新需求及时调整调查项目计划。</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（二）调查设计环节的质量控制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1.准确确定统计调查范围。根据统计目的合理划分统计调查范围，严格执行统计标准和统计原则，保证调查单位概念清晰、定义准确，基本单位名录库、抽样框全面完整。</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合理设计统计调查内容。根据统计需求设计统计调查指标表式，坚持简约、易取得、可核查的原则，保证指标名称规范统一，指标解释通俗易懂，指标计算方法科学合理；保证调查表式（问卷）结构合理、内容简洁、便于填报。</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综合利用多种调查方法。坚持科学性和可操作性相结合，合理安排调查频率、调查时间和调查方式，注重成本效益，减轻调查负担。现有统计调查数据和行政记录、商业记录、地理空间信息以及各类大数据等其他数据来源能够满足需求的，不开展新的调查。抽样调查、重点调查、典型调查等能够满足需求的，不开展全面调查。坚持必要性、可行性相结合的原则，科学设计抽样精度和调查网点，合理安排样本轮换工作，保证抽样调查的科学性、稳定性、连续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统一搭建数据采集处理平台。积极运用现代信息技术，变革统计生产方式，改进统计生产流程，提高统计调查效率和数据质量。能采用联网直报方式直接获取调查对象基础数据的，不采用传统的逐级上报方式。数据采集处理平台设计应遵循科学的软件开发规范，符合国家信息安全标准，满足统计调查制度需求，保证性能稳定、功能完善、操作方便、界面友好。</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5.科学制定数据评估办法。借鉴国际通行规则，立足统计工作实际，针对数据真实性、准确性、协调性等，制定数据评估办法。广泛征求有关专家意见，对数据评估办法进行研究论证，保证评估办法科学严谨、有理有据、系统配套，评估过程科学、公正、合理，评估结果可追溯、可核查。</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6.统筹安排数据公布工作。秉持用户第一的理念，制定和公开数据发布日程表，明确发布内容、发布时间、发布地点和发布方式等。拓展统计数据传播渠道，注重新媒体的开发利用，积极采用可视化、智能化等方式展示统计数据，保证用户方便、及时获取统计数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7.明确统计调查相关要求。基于统计业务全流程各环节，明确工作任务、职责分工、质量要求和进度安排，保证统计调查工作顺利推进。加强对各环节统计元数据和相关资料的分类管理，保证储存安全。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（三）核准备案环节的质量控制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1.依法申报统计调查项目。国家、地方、部门统计调查项目要依法依规办理核准备案手续。申报材料包括申请核准项目的公文、项目申请书、配套的统计调查制度、拟公开的统计调查制度主要内容等。</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准确把握项目基本要求。制定统计调查项目要有充分的立项依据，符合本部门职责，与其他统计调查项目不重复矛盾，服务对象明确，资料用途合理，调查内容清晰，有必要的经费保障，并按会议制度集体讨论决定。重要统计调查项目应当进行试点。</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规范开展核准备案工作。管理机构要严格按照统计法律法规审查统计调查项目，在规定时限内，对符合条件的统计调查项目作出予以批准的书面决定，对不符合条件的统计调查项目退回修改或作出不予批准的书面决定。特殊情况应当简化核准备案程序，缩短期限。</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及时公布核准备案项目。统计调查项目管理机构应当将核准备案结果及时告知申请部门。通过本级统计机构官方网站和其他媒体及时公布经核准备案的统计调查项目及其统计调查制度的主要内容。涉及国家秘密的统计调查项目除外。</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5.及时检查项目执行情况。统计调查项目管理机构应当定期开展统计调查项目核准备案和执行情况的监督检查。未办理核准备案手续或擅自变更统计调查制度内容的统计调查项目，一经发现责令停止，并依据统计法及其实施条例的有关规定处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（四）任务部署环节的质量控制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1.印发统计调查工作文件。经核准备案的统计调查项目，项目申请单位必须按规定正式印发开展统计调查工作的通知及配套的调查制度，调查表（问卷）应标明文号、表号、有效期等法定标识。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落实统计调查保障条件。调查开始前，财务部门应将相关工作经费拨付到位；设备采购部门完成设备购置并分发到位；信息技术部门将软硬件系统配置到位；相关业务部门将工作人员安排到位，明确职责分工，完成操作手册、调查表和调查问卷等相关资料的印发。向社会购买统计调查服务应按相关规定签订合同协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确定统计调查对象。相关职能部门及时更新和维护基本单位名录库、行政区划代码库等统计调查基础信息库，并按要求提供给相关业务部门。业务部门严格按照调查制度规定的统计范围，划定调查区域，确定调查对象。</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4.开通数据采集处理平台。完成平台验收部署，分配数据管理权限，做好调查对象身份认证，及时加载历史数据，保证数据采集上报平台按时开通。</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5.做好人员培训。根据实际情况采用会议、网络、视频等方式开展业务培训，培训内容应全面系统、有针对性，保证基层业务人员能够准确理解调查制度，熟练操作软件和硬件设备，灵活运用各种调查技巧。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（五）数据采集环节的质量控制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1.事前告知调查。数据采集部门在调查前向调查对象发送统计调查告知书，包括调查主要内容、相关注意事项和调查对象的权利义务等，可以通过电话、网络、微信、电子邮件、公告、会议等方式进行。</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规范数据采集。严格按照确定的调查对象发放调查表和调查问卷，指导调查对象独立正确填报调查数据、修改差错数据、补充不完整数据，及时解答调查对象的问题和咨询。如遇调查对象发生变更、消亡、不配合等情况，按相关规定处理，并将调查对象变化情况反馈给名录库管理等相关部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3.审核原始数据。按照随报随审的原则，及时接收调查对象的原始数据，对数据完整性、逻辑性等进行审核，经核实确属调查对象填报错误的，应退回原调查对象修改后重新上报，保留修改记录和相关说明。</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4.开展数据质量核查。根据统计调查制度和调查领域、行业特点制定数据质量核查计划，采取有效方式和方法，选择一定数量、不同层次的地区和调查对象进行核查，及时处理核查中发现的问题。</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（六）数据处理环节的质量控制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审核接收数据。采用统一的数据采集处理平台或规定的软件，在确保数据安全的工作环境下，对调查数据汇总结果进行计算机审核，保证逻辑性、完整性、准确性。同时进行人工审核，保证数据协调匹配、趋势合理。对其他来源数据进行验收、清洗、转换和整合。</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2.反馈处理问题。在规定时间内查明数据的疑点和问题，如属下级机构数据差错，应按规定及时退回下级机构核实修正；如属调查对象填报错误，应及时退回调查对象核实修正。保留修改痕迹。</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3.依规处理数据。当统计标准、统计口径发生变化时，依据相关制度进行调整，保证数据的可比性和协调性，并作出解释说明。</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4.按时完成任务。配备充足的力量进行数据加工处理，制定切实可行的进度表，强化对数据加工处理每一个环节的时间管理，保证数据处理的时效性。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（七）数据评估环节的质量控制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1.明确评估职责。数据评估自上而下逐级开展。原则上国家统计局和国务院有关部门负责对全国和分省数据的评估，省级以下负责对下一级数据的评估，及时反馈评估结果。</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开展数据评估。数据评估按照国际惯例进行，综合运用历史数据比较、横向数据比较、数据偏差分析、相关性分析等多种方法对各种综合数据进行评估，准确把握数据之间的相关性、匹配性和逻辑性。对于评估中发现的问题，依据相关规定处理。评估过程规范统一。</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（八）数据公布与传播环节的质量控制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把握工作要求。依据统计法及其实施条例和其他相关规定公布统计数据。除依法应当保密的外，应当及时公开，供社会公众查询。部门统计调查所取得的有关数据资料及时提供统计调查项目管理机构。数据公布前，不得违反国家有关规定对外提供。国家统计数据以国家统计局公布的数据为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2.按时公布数据。严格按照统计数据发布日程表定期公布统计数据。因特殊情况变更日程的，应提前向社会公告，保证数据的时效性。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3.规范公布内容。严格执行数据公布的有关规定，在公布统计数据的同时，还应公布数据来源、统计方法、统计口径、统计标准、指标概念等，保证社会各界正确理解和使用统计数据。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4.做好数据解读。做好公布数据变动情况及原因等的分析和解释。统计数据按照有关规定需要进行修订的，应当及时公布修订结果，并对修订依据和情况作出说明，避免数据误读。</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5.拓宽公布渠道。重要统计数据要通过新闻发布会、官方网站和其他媒体同时公布，保证用户获取统计数据的公平性。要充分运用发布会、官方网站、统计出版物、微信客户端等多种渠道及时公布统计数据，保证用户获取统计数据的便捷性。要健全综合数据查询系统，及时更新、加载最新可公开的综合性数据，逐步完善微观数据开放平台，保证最大限度开放统计数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6.加强舆情监测。通过网站、电话、信箱、微信客户端等多种渠道开展舆情监测，及时纠正对统计数据的错误解读和不当使用，及时妥善应对统计舆情突发事件。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7.深化联系沟通。多渠道向调查对象和统计用户普及统计知识，宣传统计工作的价值和统计数据的用途，主动征求和搜集关于统计数据和统计工作的意见和建议，定期回应用户的统计咨询和数据需求。</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（九）统计分析环节的质量控制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选好分析题目。根据各级党政领导、有关部门、社会公众等统计用户的需求，紧紧围绕经济社会发展情况，以及重点、热点和难点问题，特别是一些趋势性和苗头性问题，确定统计分析题目和用于分析评价的主要指标，保证统计分析满足用户需求。</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深度挖掘数据。综合利用统计调查数据和其他来源数据进行深度分析，运用决策树、聚类分析等数据挖掘分析方法，寻找数据特征、相关关系和变化规律，进行数据汇总和统计推断，衡量经济社会现象的规模、水平、速度、比例关系，预测预判变化趋势，保证统计分析的科学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写好分析报告。注重用数据分析问题，深入开展调查研究，提出解决问题的对策建议。报告要使用来源可靠的相关资料，分析方法科学合理、观点清晰、结论明确、文字流畅、形式灵活，保证统计分析报告的质量。</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（十）项目评估环节的质量控制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1.科学制定项目评估计划。按照统计调查项目执行情况评估的有关要求，结合工作实际，制定评估计划，确定评估内容、流程和职责分工，积极推进第三方评估，保证评估的科学性和可操作性。</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2.规范开展项目评估工作。针对统计调查全流程各环节，采用事中与事后评估、定性与定量评估相结合的方式，从统计人员、调查对象、统计用户等多个角度，对统计调查项目执行情况进行评估，保证评估过程科学严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3.客观评价项目执行效果。按时完成项目评估报告，对统计调查项目质量作出客观评价，指出制度方法、管理规范、业务流程和技术支持等相关工作中存在的问题，提出改进、继续或停止调查的建议，重新进入确定需求环节，保证评估结果科学实用。</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三、统计质量保障措施</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健全完备的统计质量保障措施是贯彻落实统计质量保证框架的基础，必须加强统计法治建设、完善统计体制机制、规范统计制度方法、优化统计资源配置、夯实统计基层基础、强化信息技术支撑，弘扬质量为核心的统计文化，推进统计质量的科学治理、综合治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（一）加强统计法治建设</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完善的统计法治体系是统计质量的根本保障。要进一步健全和完善统计法律法规，坚持依法统计、依法治统，严格依法组织实施统计调查、公布统计资料。加强统计督察工作，对地方党委政府和部门贯彻落实党中央、国务院关于统计改革发展各项决策部署，履行统计法定职责，遵守执行统计法律法规，落实防范惩治统计造假、弄虚作假责任制情况进行监督检查。加大统计执法力度，严肃查处各类统计违纪违法行为。强化统计违纪违法责任追究。完善统计信用制度，严格落实严重统计失信企业公示和联合惩戒制度，加大对失信统计从业人员惩戒力度。加强统计普法宣传，严格执行统计违法举报制度。</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（二）完善统计体制机制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健全的统计体制机制是保证统计质量的核心前提。要进一步深化统计管理体制改革，确保统计机构和统计人员独立调查、独立报告和独立监督的职权不受侵犯。健全完善政绩考核机制，加强对领导干部统计工作的考核管理，全面落实地方各级政府及监察机关对统计法执行情况的监督职责，建立违规干预统计工作记录制度，强化统计监督问责，持续推进统计监督与其他监督的贯通协同。严格落实党政领导干部统计数据质量的领导责任、主体责任和监督责任，严格落实统计造假“一票否决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（三）规范统计制度方法</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科学的统计制度方法是保证统计质量的关键因素。要全面推进统计现代化改革，加强统计制度方法的顶层设计和规范管理，努力构建现代化统计调查体系。加强统计标准建设，建立适应我国经济社会发展，符合国际通行准则，规范适用的统计标准体系。推进统计制度方法改革，夯实普查的基础地位，强化抽样调查的主体作用，加强全面调查、重点调查等方法的综合运用。推进大数据统计应用，拓展统计数据来源渠道。推动政府统计数据共享，扩大数据开放，建立科学高效的统计调查方法体系。围绕经济社会发展需要，加强基础调查指标研究，补齐短板、精简冗余，健全完善统一规范、方便简约的统计调查指标体系。</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（四）优化统计资源配置</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合理的统计资源配置是保证统计质量的重要基础。要充分利用现有统计资源，强化资源统一规划和统筹管理，改进和优化资源配置，提高统计调查效能。加强统计人才队伍建设，大力实施人才发展战略，建立约束和激励并重的统计人才管理机制。合理安排统计经费，加强预算管理，提高预算执行效率，增强经费保障能力，优先解决人才培养、技术更新、设备改造等事关统计工作长远发展的重点领域的资源需要。建立政府向社会购买统计服务的机制。</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（五）夯实统计基层基础</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坚实的统计基层基础是保证源头统计数据质量的根基。要进一步加强对统计基层基础工作的组织领导，夯实统计名录库、地域库、统计台账建设等基础工作。健全各级各部门的统计机构，配齐配强统计人员，明确基层统计职责任务，压实统计责任。推进县乡两级统计规范化建设，健全完善基层统计工作制度，加强基层统计人员教育培训，加强辅助调查员管理，确保基层统计有人员、有经费、有场所、有设备、有网络、有制度、有培训。</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（六）强化信息技术支撑</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先进的现代信息化手段是保证统计质量的重要技术支撑。加快推进统计信息化建设，推动智能移动终端在统计调查中的应用，促进区块链、人工智能、物联网等新一代信息技术与统计的深度融合，实现统计工作全流程电子化、网络化，推进统计数据生产方式变革，提升统计生产效能。完善网络安全防护技术措施和运营维护体系，保障数据安全。</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（七）弘扬质量为核心的统计文化</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以统计全过程质量为核心的统计文化是保证统计质量的内在因素。要树立统计全流程、全领域质量控制的管理理念，及时跟进国际统计质量管理新进展，制定完善统计质量管理规范。加强统计调查项目事前、事中和事后执行情况评估，建立意见收集和反馈机制，改进统计业务流程，完善统计产品，提升统计服务水平。加强统计质量管理培训，建立激励机制，增强全体统计参与者的质量意识，鼓励统计人员爱岗敬业、不断学习、积极创新，不断探寻提高统计质量的新途径。</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p>
    <w:p>
      <w:pPr>
        <w:pStyle w:val="29"/>
        <w:spacing w:line="400" w:lineRule="exact"/>
        <w:rPr>
          <w:rFonts w:ascii="仿宋" w:hAnsi="仿宋" w:eastAsia="仿宋" w:cs="仿宋"/>
          <w:b/>
          <w:bCs/>
          <w:shd w:val="clear" w:color="auto" w:fill="FFFFFF" w:themeFill="background1"/>
        </w:rPr>
      </w:pPr>
      <w:r>
        <w:rPr>
          <w:rFonts w:hint="eastAsia" w:ascii="仿宋" w:hAnsi="仿宋" w:eastAsia="仿宋" w:cs="仿宋"/>
          <w:b/>
          <w:bCs/>
          <w:shd w:val="clear" w:color="auto" w:fill="FFFFFF" w:themeFill="background1"/>
        </w:rPr>
        <w:t>非传统数据统计应用指导意见（部分）</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非传统数据类型</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本指导意见界定的非传统数据，包括大数据但不限于大数据。大数据是非传统数据的主体，在很多情形下可以代指非传统数据。具体而言，非传统数据是指通过非传统政府统计调查获取的数据（国外一些机构也称之为“二手数据”），包括政府部门的行政记录数据，商业记录数据，互联网数据，电子设备感应数据以及其他非传统数据。</w:t>
      </w:r>
    </w:p>
    <w:p>
      <w:pPr>
        <w:numPr>
          <w:ilvl w:val="0"/>
          <w:numId w:val="9"/>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行政记录数据。指政府部门在行使行政管理职能过程中产生的大量信息数据。</w:t>
      </w:r>
    </w:p>
    <w:p>
      <w:pPr>
        <w:numPr>
          <w:ilvl w:val="0"/>
          <w:numId w:val="9"/>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商业记录数据。指企业和个人在生产经营管理过程中的商业记录。</w:t>
      </w:r>
    </w:p>
    <w:p>
      <w:pPr>
        <w:numPr>
          <w:ilvl w:val="0"/>
          <w:numId w:val="9"/>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互联网数据。指基于互联网使用而产生的数据，包括社交网络数据、媒体数据和搜索引擎数据等。</w:t>
      </w:r>
    </w:p>
    <w:p>
      <w:pPr>
        <w:numPr>
          <w:ilvl w:val="0"/>
          <w:numId w:val="9"/>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电子设备感应数据。指通过电子设备感应而生成的数据，包括遥感数据、传感数据、卫星定位数据、通讯信号数据、物联网数据、地理空间数据等。</w:t>
      </w:r>
    </w:p>
    <w:p>
      <w:pPr>
        <w:numPr>
          <w:ilvl w:val="0"/>
          <w:numId w:val="9"/>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其他非传统数据。包括政府统计机构以外有关单位（如行业协会、高校、科研院所、咨询机构、市场调查公司等）搜集、加工、发布的数据信息等。</w:t>
      </w: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非传统数据应用标准</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根据不同类型非传统数据的内容特点，分别研究建立在政府统计中非传统数据内容、管理、应用等数据及元数据标准体系。规范界定各类非传统数据的范围口径、术语规范；统一定义非传统数据的数据来源、管理机构、质量评估、采集处理、分析发布等属性信息；统一规定非传统数据的存储方式、导入导出格式、访问交换接口、安全保密等技术标准，为非传统数据质量评估、开发应用、交换共享等提供标准依据。</w:t>
      </w:r>
    </w:p>
    <w:p>
      <w:pPr>
        <w:adjustRightInd w:val="0"/>
        <w:snapToGrid w:val="0"/>
        <w:spacing w:line="400" w:lineRule="exact"/>
        <w:rPr>
          <w:rFonts w:ascii="仿宋" w:hAnsi="仿宋" w:eastAsia="仿宋" w:cs="仿宋"/>
          <w:b/>
          <w:bCs/>
          <w:color w:val="000000"/>
          <w:sz w:val="24"/>
          <w:shd w:val="clear" w:color="auto" w:fill="FFFFFF" w:themeFill="background1"/>
        </w:rPr>
      </w:pP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非传统数据获取方式</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非传统数据的获取方式主要有：</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法定获取。依照有关法律法规无偿获取各种非传统数据，包括政务信息资源等。</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抓取方式。从互联网上利用软件工具合法抓取或人工搜集数据信息。</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合作方式。通过签订协议等制度化方式，与政府部门、数据公司和研究机构建立数据互联共享机制，实现信息资源共享，合作开发、编制和发布统计产品。</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购买方式。以政府采购服务方式从行政管理部门、商业企业、互联网公司等购买各种非传统数据。</w:t>
      </w:r>
    </w:p>
    <w:p>
      <w:pPr>
        <w:adjustRightInd w:val="0"/>
        <w:snapToGrid w:val="0"/>
        <w:spacing w:line="400" w:lineRule="exact"/>
        <w:rPr>
          <w:rFonts w:ascii="仿宋" w:hAnsi="仿宋" w:eastAsia="仿宋" w:cs="仿宋"/>
          <w:color w:val="000000"/>
          <w:sz w:val="24"/>
          <w:shd w:val="clear" w:color="auto" w:fill="FFFFFF" w:themeFill="background1"/>
        </w:rPr>
      </w:pPr>
    </w:p>
    <w:p>
      <w:pPr>
        <w:adjustRightInd w:val="0"/>
        <w:snapToGrid w:val="0"/>
        <w:spacing w:line="400" w:lineRule="exact"/>
        <w:rPr>
          <w:rFonts w:ascii="仿宋" w:hAnsi="仿宋" w:eastAsia="仿宋" w:cs="仿宋"/>
          <w:color w:val="000000"/>
          <w:sz w:val="24"/>
          <w:shd w:val="clear" w:color="auto" w:fill="FFFFFF" w:themeFill="background1"/>
        </w:rPr>
      </w:pP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非传统数据的应用流程</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非传统数据来源分散、类型多样、应用技术性强，要加强顶层设计，结合业务特点，依托不同的统计项目，制定具体应用流程和实施方案。原则上以具体统计项目的方式，从确定需求、方案论证、审批备案、数据获取、数据处理、分析发布、存储归档、反馈优化等环节开展应用工作。具体包括：</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数据需求。根据统计需求，提出非传统数据的应用目标、预期成果、应用效果以及技术支持保障等方面的需求。</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方案论证。研究制定统计应用方案，对方案进行必要性、可行性和科学性论证。论证时既要征求相关方面对方案的意见，又要比较不同渠道的统计成本。</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审批备案。按照规定将统计应用方案报送相关管理部门审批备案。</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数据获取。发现数据源，进行质量评估，提出获取数据方式。根据非传统数据的特点以及获取的具体方式，按约定的方式、渠道，获取非传统数据。</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数据处理。运用现代信息技术和科学方法对非传统数据进行清洗、审核、验收、加工、推算和汇总等，挖掘发现隐含在海量数据中可能的新趋势、新关联、新规律，评估数据的准确性、一致性等。</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分析发布。对经过数据处理环节获得的非传统数据进行分析，撰写相关分析报告，以更及时、更灵活的方式发布统计数据，进行数据的解读和诠释。</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存储归档。对文件、制度、方案、原始数据、综合数据和评估报告等资料和文献及时保存和更新。</w:t>
      </w:r>
    </w:p>
    <w:p>
      <w:pPr>
        <w:numPr>
          <w:ilvl w:val="0"/>
          <w:numId w:val="10"/>
        </w:num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反馈优化。收集应用的反馈意见，分析应用效果，进一步优化应用方案。</w:t>
      </w:r>
    </w:p>
    <w:p>
      <w:pPr>
        <w:adjustRightInd w:val="0"/>
        <w:snapToGrid w:val="0"/>
        <w:spacing w:line="400" w:lineRule="exact"/>
        <w:rPr>
          <w:rFonts w:ascii="仿宋" w:hAnsi="仿宋" w:eastAsia="仿宋" w:cs="仿宋"/>
          <w:b/>
          <w:bCs/>
          <w:color w:val="000000"/>
          <w:sz w:val="24"/>
          <w:shd w:val="clear" w:color="auto" w:fill="F0F5FE"/>
        </w:rPr>
      </w:pPr>
    </w:p>
    <w:p>
      <w:pPr>
        <w:adjustRightInd w:val="0"/>
        <w:snapToGrid w:val="0"/>
        <w:spacing w:line="400" w:lineRule="exact"/>
        <w:ind w:firstLine="482" w:firstLineChars="200"/>
        <w:rPr>
          <w:rFonts w:ascii="仿宋" w:hAnsi="仿宋" w:eastAsia="仿宋" w:cs="仿宋"/>
          <w:b/>
          <w:bCs/>
          <w:color w:val="000000"/>
          <w:sz w:val="24"/>
          <w:shd w:val="clear" w:color="auto" w:fill="FFFFFF" w:themeFill="background1"/>
        </w:rPr>
      </w:pPr>
      <w:r>
        <w:rPr>
          <w:rFonts w:hint="eastAsia" w:ascii="仿宋" w:hAnsi="仿宋" w:eastAsia="仿宋" w:cs="仿宋"/>
          <w:b/>
          <w:bCs/>
          <w:color w:val="000000"/>
          <w:sz w:val="24"/>
          <w:shd w:val="clear" w:color="auto" w:fill="FFFFFF" w:themeFill="background1"/>
        </w:rPr>
        <w:t>非传统数据应用的合作共享</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加强政府统计机构与国内相关单位在非传统数据应用的共享合作。政府统计机构要与国内各政府部门、企业、高校、科研院所等相关单位在非传统数据应用方面，积极开展合作研究，发挥各自优势，开展知识技能、专业方法和经验做法的共享和交流，不断提升统计应用能力和水平。</w:t>
      </w:r>
    </w:p>
    <w:p>
      <w:pPr>
        <w:adjustRightInd w:val="0"/>
        <w:snapToGrid w:val="0"/>
        <w:spacing w:line="400" w:lineRule="exact"/>
        <w:ind w:firstLine="480" w:firstLineChars="200"/>
        <w:rPr>
          <w:rFonts w:ascii="仿宋" w:hAnsi="仿宋" w:eastAsia="仿宋" w:cs="仿宋"/>
          <w:color w:val="000000"/>
          <w:sz w:val="24"/>
          <w:shd w:val="clear" w:color="auto" w:fill="FFFFFF" w:themeFill="background1"/>
        </w:rPr>
      </w:pPr>
      <w:r>
        <w:rPr>
          <w:rFonts w:hint="eastAsia" w:ascii="仿宋" w:hAnsi="仿宋" w:eastAsia="仿宋" w:cs="仿宋"/>
          <w:color w:val="000000"/>
          <w:sz w:val="24"/>
          <w:shd w:val="clear" w:color="auto" w:fill="FFFFFF" w:themeFill="background1"/>
        </w:rPr>
        <w:t>加强非传统数据应用的国际合作。进一步加大我国与各国政府统计机构和国际组织在非传统数据应用方面的学习交流。通过多边和双边渠道，积极借鉴国际先进经验，互学互鉴，提高我国非传统数据的应用能力，增强我国在制定相关统计应用规则和标准方面的国际话语权。</w:t>
      </w:r>
    </w:p>
    <w:p>
      <w:pPr>
        <w:adjustRightInd w:val="0"/>
        <w:snapToGrid w:val="0"/>
        <w:spacing w:line="400" w:lineRule="exact"/>
        <w:rPr>
          <w:rFonts w:ascii="仿宋" w:hAnsi="仿宋" w:eastAsia="仿宋" w:cs="仿宋"/>
          <w:b/>
          <w:bCs/>
          <w:color w:val="000000"/>
          <w:sz w:val="24"/>
          <w:shd w:val="clear" w:color="auto" w:fill="F0F5FE"/>
        </w:rPr>
      </w:pPr>
    </w:p>
    <w:bookmarkEnd w:id="155"/>
    <w:bookmarkEnd w:id="156"/>
    <w:bookmarkEnd w:id="157"/>
    <w:bookmarkEnd w:id="158"/>
    <w:bookmarkEnd w:id="159"/>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t>1</w:t>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- 1 -</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- 77 -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- 77 -</w:t>
                    </w:r>
                    <w:r>
                      <w:fldChar w:fldCharType="end"/>
                    </w:r>
                  </w:p>
                </w:txbxContent>
              </v:textbox>
            </v:shape>
          </w:pict>
        </mc:Fallback>
      </mc:AlternateContent>
    </w:r>
  </w:p>
  <w:p>
    <w:pPr>
      <w:pStyle w:val="1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EnclosedCircleChinese"/>
      <w:suff w:val="nothing"/>
      <w:lvlText w:val="%1　"/>
      <w:lvlJc w:val="left"/>
      <w:pPr>
        <w:ind w:left="0" w:firstLine="400"/>
      </w:pPr>
      <w:rPr>
        <w:rFonts w:hint="eastAsia"/>
      </w:rPr>
    </w:lvl>
  </w:abstractNum>
  <w:abstractNum w:abstractNumId="1">
    <w:nsid w:val="23150AB8"/>
    <w:multiLevelType w:val="multilevel"/>
    <w:tmpl w:val="23150AB8"/>
    <w:lvl w:ilvl="0" w:tentative="0">
      <w:start w:val="1"/>
      <w:numFmt w:val="decimal"/>
      <w:lvlText w:val="%1."/>
      <w:lvlJc w:val="left"/>
      <w:pPr>
        <w:ind w:left="962" w:hanging="360"/>
      </w:pPr>
      <w:rPr>
        <w:rFonts w:hint="default"/>
        <w:b/>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310D77FA"/>
    <w:multiLevelType w:val="multilevel"/>
    <w:tmpl w:val="310D77FA"/>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3">
    <w:nsid w:val="4DC65B40"/>
    <w:multiLevelType w:val="multilevel"/>
    <w:tmpl w:val="4DC65B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8C7F41D"/>
    <w:multiLevelType w:val="singleLevel"/>
    <w:tmpl w:val="58C7F41D"/>
    <w:lvl w:ilvl="0" w:tentative="0">
      <w:start w:val="1"/>
      <w:numFmt w:val="decimal"/>
      <w:suff w:val="nothing"/>
      <w:lvlText w:val="%1．"/>
      <w:lvlJc w:val="left"/>
      <w:pPr>
        <w:ind w:left="0" w:firstLine="400"/>
      </w:pPr>
      <w:rPr>
        <w:rFonts w:hint="default"/>
      </w:rPr>
    </w:lvl>
  </w:abstractNum>
  <w:abstractNum w:abstractNumId="5">
    <w:nsid w:val="5F225501"/>
    <w:multiLevelType w:val="multilevel"/>
    <w:tmpl w:val="5F225501"/>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6">
    <w:nsid w:val="61E7C1CA"/>
    <w:multiLevelType w:val="singleLevel"/>
    <w:tmpl w:val="61E7C1CA"/>
    <w:lvl w:ilvl="0" w:tentative="0">
      <w:start w:val="7"/>
      <w:numFmt w:val="chineseCounting"/>
      <w:suff w:val="nothing"/>
      <w:lvlText w:val="第%1条"/>
      <w:lvlJc w:val="left"/>
      <w:rPr>
        <w:rFonts w:hint="eastAsia"/>
        <w:b/>
        <w:bCs/>
      </w:rPr>
    </w:lvl>
  </w:abstractNum>
  <w:abstractNum w:abstractNumId="7">
    <w:nsid w:val="61E7D237"/>
    <w:multiLevelType w:val="singleLevel"/>
    <w:tmpl w:val="61E7D237"/>
    <w:lvl w:ilvl="0" w:tentative="0">
      <w:start w:val="1"/>
      <w:numFmt w:val="chineseCounting"/>
      <w:suff w:val="nothing"/>
      <w:lvlText w:val="（%1）"/>
      <w:lvlJc w:val="left"/>
    </w:lvl>
  </w:abstractNum>
  <w:abstractNum w:abstractNumId="8">
    <w:nsid w:val="61E7D389"/>
    <w:multiLevelType w:val="singleLevel"/>
    <w:tmpl w:val="61E7D389"/>
    <w:lvl w:ilvl="0" w:tentative="0">
      <w:start w:val="1"/>
      <w:numFmt w:val="chineseCounting"/>
      <w:suff w:val="nothing"/>
      <w:lvlText w:val="（%1）"/>
      <w:lvlJc w:val="left"/>
    </w:lvl>
  </w:abstractNum>
  <w:abstractNum w:abstractNumId="9">
    <w:nsid w:val="685E2762"/>
    <w:multiLevelType w:val="multilevel"/>
    <w:tmpl w:val="685E2762"/>
    <w:lvl w:ilvl="0" w:tentative="0">
      <w:start w:val="1"/>
      <w:numFmt w:val="decimalEnclosedCircleChinese"/>
      <w:lvlText w:val="%1　"/>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3"/>
  </w:num>
  <w:num w:numId="2">
    <w:abstractNumId w:val="4"/>
  </w:num>
  <w:num w:numId="3">
    <w:abstractNumId w:val="1"/>
  </w:num>
  <w:num w:numId="4">
    <w:abstractNumId w:val="9"/>
  </w:num>
  <w:num w:numId="5">
    <w:abstractNumId w:val="0"/>
  </w:num>
  <w:num w:numId="6">
    <w:abstractNumId w:val="2"/>
  </w:num>
  <w:num w:numId="7">
    <w:abstractNumId w:val="5"/>
  </w:num>
  <w:num w:numId="8">
    <w:abstractNumId w:val="6"/>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 hong">
    <w15:presenceInfo w15:providerId="Windows Live" w15:userId="b4b4cf3c92c2a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dkZjY3M2YwZjYwMzkyOGRmOTkxNDRjYWZmMzAifQ=="/>
  </w:docVars>
  <w:rsids>
    <w:rsidRoot w:val="00F07BC4"/>
    <w:rsid w:val="0003669F"/>
    <w:rsid w:val="003F3606"/>
    <w:rsid w:val="004E79E6"/>
    <w:rsid w:val="006A25C7"/>
    <w:rsid w:val="00775FE6"/>
    <w:rsid w:val="00DB7C94"/>
    <w:rsid w:val="00E27A02"/>
    <w:rsid w:val="00E71146"/>
    <w:rsid w:val="00E75B5C"/>
    <w:rsid w:val="00E87969"/>
    <w:rsid w:val="00F07BC4"/>
    <w:rsid w:val="00F24281"/>
    <w:rsid w:val="05F257ED"/>
    <w:rsid w:val="09153CE8"/>
    <w:rsid w:val="0A410AF1"/>
    <w:rsid w:val="0C484B9B"/>
    <w:rsid w:val="0FA664E1"/>
    <w:rsid w:val="108B4674"/>
    <w:rsid w:val="10AF7189"/>
    <w:rsid w:val="117A4F07"/>
    <w:rsid w:val="137A57A0"/>
    <w:rsid w:val="18452B6C"/>
    <w:rsid w:val="1B723057"/>
    <w:rsid w:val="23572E00"/>
    <w:rsid w:val="23760A55"/>
    <w:rsid w:val="273F4A36"/>
    <w:rsid w:val="2B191348"/>
    <w:rsid w:val="2B377DC8"/>
    <w:rsid w:val="2D267445"/>
    <w:rsid w:val="2DC41CA4"/>
    <w:rsid w:val="2EF91817"/>
    <w:rsid w:val="33D15E48"/>
    <w:rsid w:val="33FC05F9"/>
    <w:rsid w:val="35406D4B"/>
    <w:rsid w:val="3A6A20A1"/>
    <w:rsid w:val="3ADC2125"/>
    <w:rsid w:val="3B5B1142"/>
    <w:rsid w:val="3F003701"/>
    <w:rsid w:val="3FF7AA2D"/>
    <w:rsid w:val="412609F2"/>
    <w:rsid w:val="43743948"/>
    <w:rsid w:val="44BC131F"/>
    <w:rsid w:val="44FE643B"/>
    <w:rsid w:val="45D70F98"/>
    <w:rsid w:val="48451AE3"/>
    <w:rsid w:val="494F3B89"/>
    <w:rsid w:val="49DE3197"/>
    <w:rsid w:val="511E3D53"/>
    <w:rsid w:val="52AE419A"/>
    <w:rsid w:val="54C33100"/>
    <w:rsid w:val="55176C76"/>
    <w:rsid w:val="55C52F3E"/>
    <w:rsid w:val="5702504B"/>
    <w:rsid w:val="59036DA4"/>
    <w:rsid w:val="63524352"/>
    <w:rsid w:val="67270B90"/>
    <w:rsid w:val="67895BBA"/>
    <w:rsid w:val="6959151C"/>
    <w:rsid w:val="6B0E512A"/>
    <w:rsid w:val="6BFC015E"/>
    <w:rsid w:val="6DAA75AE"/>
    <w:rsid w:val="6F123236"/>
    <w:rsid w:val="6FF6BC85"/>
    <w:rsid w:val="70C023F0"/>
    <w:rsid w:val="73D609AA"/>
    <w:rsid w:val="768C494A"/>
    <w:rsid w:val="7AFC5974"/>
    <w:rsid w:val="7FC3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7"/>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unhideWhenUsed/>
    <w:qFormat/>
    <w:uiPriority w:val="0"/>
    <w:pPr>
      <w:keepNext/>
      <w:keepLines/>
      <w:spacing w:before="280" w:after="290" w:line="376" w:lineRule="auto"/>
      <w:outlineLvl w:val="4"/>
    </w:pPr>
    <w:rPr>
      <w:b/>
      <w:bCs/>
      <w:sz w:val="28"/>
      <w:szCs w:val="28"/>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unhideWhenUsed/>
    <w:qFormat/>
    <w:uiPriority w:val="99"/>
  </w:style>
  <w:style w:type="paragraph" w:styleId="8">
    <w:name w:val="Body Text"/>
    <w:basedOn w:val="1"/>
    <w:unhideWhenUsed/>
    <w:qFormat/>
    <w:uiPriority w:val="99"/>
    <w:pPr>
      <w:spacing w:after="120"/>
    </w:pPr>
  </w:style>
  <w:style w:type="paragraph" w:styleId="9">
    <w:name w:val="toc 3"/>
    <w:basedOn w:val="1"/>
    <w:next w:val="1"/>
    <w:unhideWhenUsed/>
    <w:qFormat/>
    <w:uiPriority w:val="39"/>
    <w:pPr>
      <w:ind w:left="480"/>
    </w:pPr>
    <w:rPr>
      <w:rFonts w:ascii="等线" w:eastAsia="等线"/>
      <w:i/>
      <w:iCs/>
      <w:sz w:val="20"/>
      <w:szCs w:val="20"/>
    </w:rPr>
  </w:style>
  <w:style w:type="paragraph" w:styleId="10">
    <w:name w:val="footer"/>
    <w:basedOn w:val="1"/>
    <w:unhideWhenUsed/>
    <w:qFormat/>
    <w:uiPriority w:val="99"/>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pPr>
      <w:spacing w:before="120" w:after="120"/>
    </w:pPr>
    <w:rPr>
      <w:rFonts w:ascii="等线" w:eastAsia="等线"/>
      <w:b/>
      <w:bCs/>
      <w:caps/>
      <w:sz w:val="20"/>
      <w:szCs w:val="20"/>
    </w:rPr>
  </w:style>
  <w:style w:type="paragraph" w:styleId="13">
    <w:name w:val="List"/>
    <w:basedOn w:val="1"/>
    <w:unhideWhenUsed/>
    <w:qFormat/>
    <w:uiPriority w:val="99"/>
    <w:pPr>
      <w:ind w:left="420" w:hanging="420"/>
    </w:pPr>
  </w:style>
  <w:style w:type="paragraph" w:styleId="14">
    <w:name w:val="toc 2"/>
    <w:basedOn w:val="1"/>
    <w:next w:val="1"/>
    <w:unhideWhenUsed/>
    <w:qFormat/>
    <w:uiPriority w:val="39"/>
    <w:pPr>
      <w:ind w:left="240"/>
    </w:pPr>
    <w:rPr>
      <w:rFonts w:ascii="等线" w:eastAsia="等线"/>
      <w:smallCaps/>
      <w:sz w:val="20"/>
      <w:szCs w:val="20"/>
    </w:rPr>
  </w:style>
  <w:style w:type="paragraph" w:styleId="15">
    <w:name w:val="Normal (Web)"/>
    <w:basedOn w:val="1"/>
    <w:qFormat/>
    <w:uiPriority w:val="0"/>
    <w:pPr>
      <w:spacing w:beforeAutospacing="1" w:afterAutospacing="1"/>
    </w:pPr>
  </w:style>
  <w:style w:type="paragraph" w:styleId="16">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character" w:styleId="19">
    <w:name w:val="Hyperlink"/>
    <w:qFormat/>
    <w:uiPriority w:val="99"/>
    <w:rPr>
      <w:color w:val="0000FF"/>
      <w:u w:val="single"/>
    </w:rPr>
  </w:style>
  <w:style w:type="character" w:styleId="20">
    <w:name w:val="annotation reference"/>
    <w:semiHidden/>
    <w:unhideWhenUsed/>
    <w:qFormat/>
    <w:uiPriority w:val="99"/>
    <w:rPr>
      <w:sz w:val="21"/>
      <w:szCs w:val="21"/>
    </w:rPr>
  </w:style>
  <w:style w:type="paragraph" w:customStyle="1" w:styleId="21">
    <w:name w:val="样式3"/>
    <w:basedOn w:val="22"/>
    <w:qFormat/>
    <w:uiPriority w:val="0"/>
    <w:pPr>
      <w:spacing w:line="360" w:lineRule="auto"/>
      <w:ind w:firstLine="420"/>
    </w:pPr>
    <w:rPr>
      <w:rFonts w:eastAsia="楷体_GB2312"/>
      <w:b/>
    </w:rPr>
  </w:style>
  <w:style w:type="paragraph" w:customStyle="1" w:styleId="22">
    <w:name w:val="正文993"/>
    <w:qFormat/>
    <w:uiPriority w:val="99"/>
    <w:pPr>
      <w:widowControl w:val="0"/>
      <w:spacing w:after="200" w:line="276" w:lineRule="auto"/>
      <w:jc w:val="both"/>
    </w:pPr>
    <w:rPr>
      <w:rFonts w:ascii="仿宋_GB2312" w:eastAsia="仿宋_GB2312" w:cs="Times New Roman" w:hAnsiTheme="minorHAnsi"/>
      <w:kern w:val="2"/>
      <w:sz w:val="24"/>
      <w:szCs w:val="24"/>
      <w:lang w:val="en-US" w:eastAsia="zh-CN" w:bidi="ar-SA"/>
    </w:rPr>
  </w:style>
  <w:style w:type="paragraph" w:customStyle="1" w:styleId="23">
    <w:name w:val="正文文本1"/>
    <w:basedOn w:val="22"/>
    <w:qFormat/>
    <w:uiPriority w:val="99"/>
    <w:pPr>
      <w:spacing w:line="640" w:lineRule="exact"/>
      <w:jc w:val="center"/>
    </w:pPr>
    <w:rPr>
      <w:rFonts w:ascii="华文中宋" w:hAnsi="华文中宋" w:eastAsia="华文中宋"/>
      <w:color w:val="000000"/>
      <w:sz w:val="44"/>
      <w:szCs w:val="44"/>
    </w:rPr>
  </w:style>
  <w:style w:type="paragraph" w:customStyle="1" w:styleId="24">
    <w:name w:val="TOC 标题1"/>
    <w:basedOn w:val="2"/>
    <w:next w:val="1"/>
    <w:semiHidden/>
    <w:unhideWhenUsed/>
    <w:qFormat/>
    <w:uiPriority w:val="39"/>
    <w:pPr>
      <w:outlineLvl w:val="9"/>
    </w:pPr>
  </w:style>
  <w:style w:type="paragraph" w:customStyle="1" w:styleId="25">
    <w:name w:val="标题1手册"/>
    <w:basedOn w:val="26"/>
    <w:qFormat/>
    <w:uiPriority w:val="0"/>
    <w:pPr>
      <w:ind w:firstLine="562" w:firstLineChars="200"/>
    </w:pPr>
    <w:rPr>
      <w:rFonts w:eastAsia="黑体"/>
      <w:sz w:val="28"/>
      <w:szCs w:val="28"/>
    </w:rPr>
  </w:style>
  <w:style w:type="paragraph" w:customStyle="1" w:styleId="26">
    <w:name w:val="标题 32"/>
    <w:basedOn w:val="22"/>
    <w:next w:val="22"/>
    <w:qFormat/>
    <w:uiPriority w:val="99"/>
    <w:pPr>
      <w:keepNext/>
      <w:keepLines/>
      <w:spacing w:before="260" w:after="260" w:line="413" w:lineRule="auto"/>
      <w:outlineLvl w:val="2"/>
    </w:pPr>
    <w:rPr>
      <w:b/>
      <w:bCs/>
      <w:sz w:val="32"/>
      <w:szCs w:val="32"/>
    </w:rPr>
  </w:style>
  <w:style w:type="paragraph" w:customStyle="1" w:styleId="27">
    <w:name w:val="一、"/>
    <w:basedOn w:val="25"/>
    <w:qFormat/>
    <w:uiPriority w:val="0"/>
  </w:style>
  <w:style w:type="paragraph" w:customStyle="1" w:styleId="28">
    <w:name w:val="样式1"/>
    <w:basedOn w:val="22"/>
    <w:qFormat/>
    <w:uiPriority w:val="0"/>
    <w:pPr>
      <w:spacing w:line="360" w:lineRule="auto"/>
      <w:ind w:firstLine="480" w:firstLineChars="200"/>
    </w:pPr>
  </w:style>
  <w:style w:type="paragraph" w:customStyle="1" w:styleId="29">
    <w:name w:val="xl76"/>
    <w:basedOn w:val="22"/>
    <w:qFormat/>
    <w:uiPriority w:val="0"/>
    <w:pPr>
      <w:widowControl/>
      <w:pBdr>
        <w:bottom w:val="single" w:color="auto" w:sz="4" w:space="0"/>
      </w:pBdr>
      <w:spacing w:before="100" w:beforeAutospacing="1" w:after="100" w:afterAutospacing="1"/>
      <w:jc w:val="center"/>
    </w:pPr>
    <w:rPr>
      <w:rFonts w:ascii="宋体" w:hAnsi="宋体" w:eastAsia="宋体" w:cs="Arial Unicode MS"/>
      <w:kern w:val="0"/>
    </w:rPr>
  </w:style>
  <w:style w:type="paragraph" w:customStyle="1" w:styleId="30">
    <w:name w:val="规范正文"/>
    <w:basedOn w:val="1"/>
    <w:qFormat/>
    <w:uiPriority w:val="0"/>
    <w:pPr>
      <w:adjustRightInd w:val="0"/>
      <w:textAlignment w:val="baseline"/>
    </w:pPr>
    <w:rPr>
      <w:rFonts w:ascii="Times New Roman" w:hAnsi="Times New Roman" w:eastAsia="宋体"/>
      <w:szCs w:val="20"/>
    </w:rPr>
  </w:style>
  <w:style w:type="paragraph" w:customStyle="1" w:styleId="31">
    <w:name w:val="段"/>
    <w:qFormat/>
    <w:uiPriority w:val="0"/>
    <w:pPr>
      <w:autoSpaceDE w:val="0"/>
      <w:autoSpaceDN w:val="0"/>
      <w:spacing w:after="200" w:line="276" w:lineRule="auto"/>
      <w:ind w:firstLine="200" w:firstLineChars="200"/>
      <w:jc w:val="both"/>
    </w:pPr>
    <w:rPr>
      <w:rFonts w:ascii="宋体" w:cs="Times New Roman" w:hAnsiTheme="minorHAnsi" w:eastAsiaTheme="minorEastAsia"/>
      <w:sz w:val="21"/>
      <w:szCs w:val="22"/>
      <w:lang w:val="en-US" w:eastAsia="zh-CN" w:bidi="ar-SA"/>
    </w:rPr>
  </w:style>
  <w:style w:type="paragraph" w:customStyle="1" w:styleId="32">
    <w:name w:val="黑体"/>
    <w:basedOn w:val="1"/>
    <w:qFormat/>
    <w:uiPriority w:val="0"/>
    <w:pPr>
      <w:snapToGrid w:val="0"/>
      <w:spacing w:line="360" w:lineRule="exact"/>
    </w:pPr>
    <w:rPr>
      <w:rFonts w:ascii="黑体" w:hAnsi="黑体" w:eastAsia="黑体"/>
    </w:rPr>
  </w:style>
  <w:style w:type="paragraph" w:customStyle="1" w:styleId="33">
    <w:name w:val="样式2"/>
    <w:basedOn w:val="22"/>
    <w:qFormat/>
    <w:uiPriority w:val="0"/>
    <w:pPr>
      <w:adjustRightInd w:val="0"/>
      <w:spacing w:line="360" w:lineRule="auto"/>
      <w:ind w:firstLine="480" w:firstLineChars="200"/>
    </w:pPr>
  </w:style>
  <w:style w:type="paragraph" w:customStyle="1" w:styleId="34">
    <w:name w:val="正文[858D7CFB-ED40-4347-BF05-701D383B685F][858D7CFB-ED40-4347-BF05-701D383B685F][858D7CFB-ED40-4347-BF05-701D383B685F][858D7CFB-ED40-4347-BF05-701D383B685F]"/>
    <w:qFormat/>
    <w:uiPriority w:val="0"/>
    <w:pPr>
      <w:widowControl w:val="0"/>
      <w:spacing w:after="200" w:line="276" w:lineRule="auto"/>
      <w:jc w:val="both"/>
    </w:pPr>
    <w:rPr>
      <w:rFonts w:cs="Times New Roman" w:asciiTheme="minorHAnsi" w:hAnsiTheme="minorHAnsi" w:eastAsiaTheme="minorEastAsia"/>
      <w:sz w:val="21"/>
      <w:szCs w:val="22"/>
      <w:lang w:val="en-US" w:eastAsia="zh-CN" w:bidi="ar-SA"/>
    </w:rPr>
  </w:style>
  <w:style w:type="paragraph" w:customStyle="1" w:styleId="35">
    <w:name w:val="标题 22"/>
    <w:basedOn w:val="1"/>
    <w:next w:val="1"/>
    <w:qFormat/>
    <w:uiPriority w:val="99"/>
    <w:pPr>
      <w:keepNext/>
      <w:keepLines/>
      <w:spacing w:before="260" w:after="260" w:line="413" w:lineRule="auto"/>
      <w:outlineLvl w:val="1"/>
    </w:pPr>
    <w:rPr>
      <w:rFonts w:ascii="Arial" w:hAnsi="Arial" w:eastAsia="黑体"/>
      <w:b/>
      <w:bCs/>
      <w:sz w:val="32"/>
      <w:szCs w:val="32"/>
    </w:rPr>
  </w:style>
  <w:style w:type="paragraph" w:customStyle="1" w:styleId="36">
    <w:name w:val="页脚1"/>
    <w:basedOn w:val="22"/>
    <w:qFormat/>
    <w:uiPriority w:val="99"/>
    <w:pPr>
      <w:tabs>
        <w:tab w:val="center" w:pos="4153"/>
        <w:tab w:val="right" w:pos="8306"/>
      </w:tabs>
      <w:snapToGrid w:val="0"/>
      <w:jc w:val="left"/>
    </w:pPr>
    <w:rPr>
      <w:sz w:val="18"/>
      <w:szCs w:val="18"/>
    </w:rPr>
  </w:style>
  <w:style w:type="character" w:customStyle="1" w:styleId="37">
    <w:name w:val="标题 4 字符"/>
    <w:basedOn w:val="18"/>
    <w:link w:val="5"/>
    <w:qFormat/>
    <w:uiPriority w:val="0"/>
    <w:rPr>
      <w:rFonts w:asciiTheme="majorHAnsi" w:hAnsiTheme="majorHAnsi" w:eastAsiaTheme="majorEastAsia" w:cstheme="majorBidi"/>
      <w:b/>
      <w:bCs/>
      <w:kern w:val="2"/>
      <w:sz w:val="28"/>
      <w:szCs w:val="28"/>
    </w:rPr>
  </w:style>
  <w:style w:type="character" w:customStyle="1" w:styleId="38">
    <w:name w:val="标题 5 字符"/>
    <w:basedOn w:val="18"/>
    <w:link w:val="6"/>
    <w:qFormat/>
    <w:uiPriority w:val="0"/>
    <w:rPr>
      <w:b/>
      <w:bCs/>
      <w:kern w:val="2"/>
      <w:sz w:val="28"/>
      <w:szCs w:val="28"/>
    </w:rPr>
  </w:style>
  <w:style w:type="character" w:customStyle="1" w:styleId="39">
    <w:name w:val="标题 字符"/>
    <w:basedOn w:val="18"/>
    <w:link w:val="16"/>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6575</Words>
  <Characters>37478</Characters>
  <Lines>312</Lines>
  <Paragraphs>87</Paragraphs>
  <TotalTime>60</TotalTime>
  <ScaleCrop>false</ScaleCrop>
  <LinksUpToDate>false</LinksUpToDate>
  <CharactersWithSpaces>43966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2022-01-21T00:57:00Z</dcterms:created>
  <dc:creator>86183</dc:creator>
  <cp:lastModifiedBy>饼小姐zhx</cp:lastModifiedBy>
  <dcterms:modified xsi:type="dcterms:W3CDTF">2023-11-16T01:04:45Z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6A57B9B9383F4A6EA49134AAF8A125FB</vt:lpwstr>
  </property>
</Properties>
</file>