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1004" w:firstLine="0" w:firstLineChars="0"/>
        <w:rPr>
          <w:rFonts w:ascii="方正小标宋简体" w:hAnsi="微软雅黑" w:eastAsia="方正小标宋简体"/>
          <w:sz w:val="44"/>
          <w:szCs w:val="44"/>
        </w:rPr>
      </w:pPr>
      <w:r>
        <w:rPr>
          <w:rFonts w:ascii="方正小标宋简体" w:hAnsi="微软雅黑" w:eastAsia="方正小标宋简体"/>
          <w:sz w:val="44"/>
          <w:szCs w:val="44"/>
        </w:rPr>
        <w:t>2018年度</w:t>
      </w:r>
      <w:r>
        <w:rPr>
          <w:rFonts w:hint="eastAsia" w:ascii="方正小标宋简体" w:hAnsi="微软雅黑" w:eastAsia="方正小标宋简体"/>
          <w:sz w:val="44"/>
          <w:szCs w:val="44"/>
        </w:rPr>
        <w:t>市人力社保局</w:t>
      </w:r>
      <w:r>
        <w:rPr>
          <w:rFonts w:ascii="方正小标宋简体" w:hAnsi="微软雅黑" w:eastAsia="方正小标宋简体"/>
          <w:sz w:val="44"/>
          <w:szCs w:val="44"/>
        </w:rPr>
        <w:t>日常动态考评任务</w:t>
      </w:r>
      <w:r>
        <w:rPr>
          <w:rFonts w:hint="eastAsia" w:ascii="方正小标宋简体" w:hAnsi="微软雅黑" w:eastAsia="方正小标宋简体"/>
          <w:sz w:val="44"/>
          <w:szCs w:val="44"/>
        </w:rPr>
        <w:t>完成</w:t>
      </w:r>
      <w:r>
        <w:rPr>
          <w:rFonts w:ascii="方正小标宋简体" w:hAnsi="微软雅黑" w:eastAsia="方正小标宋简体"/>
          <w:sz w:val="44"/>
          <w:szCs w:val="44"/>
        </w:rPr>
        <w:t>情况表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市委市政府下达的重点任务</w:t>
      </w:r>
    </w:p>
    <w:tbl>
      <w:tblPr>
        <w:tblStyle w:val="5"/>
        <w:tblW w:w="128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713"/>
        <w:gridCol w:w="4820"/>
        <w:gridCol w:w="1886"/>
        <w:gridCol w:w="1134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考核项目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年度任务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ascii="黑体" w:hAnsi="黑体" w:eastAsia="黑体"/>
                <w:color w:val="000000" w:themeColor="text1"/>
                <w:szCs w:val="21"/>
              </w:rPr>
              <w:t>最新进展情况</w:t>
            </w:r>
          </w:p>
        </w:tc>
        <w:tc>
          <w:tcPr>
            <w:tcW w:w="1886" w:type="dxa"/>
          </w:tcPr>
          <w:p>
            <w:pPr>
              <w:pStyle w:val="9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存在问题</w:t>
            </w:r>
          </w:p>
        </w:tc>
        <w:tc>
          <w:tcPr>
            <w:tcW w:w="1134" w:type="dxa"/>
          </w:tcPr>
          <w:p>
            <w:pPr>
              <w:pStyle w:val="9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实施状态</w:t>
            </w:r>
          </w:p>
        </w:tc>
        <w:tc>
          <w:tcPr>
            <w:tcW w:w="1025" w:type="dxa"/>
          </w:tcPr>
          <w:p>
            <w:pPr>
              <w:pStyle w:val="9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2713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坚持以创新创业带动就业，积极推进大学生驿站和创业工坊建设，新增在温就业大学生</w:t>
            </w:r>
            <w:r>
              <w:rPr>
                <w:rFonts w:ascii="黑体" w:hAnsi="黑体" w:eastAsia="黑体"/>
                <w:color w:val="000000" w:themeColor="text1"/>
                <w:szCs w:val="21"/>
              </w:rPr>
              <w:t>3.6万人。加强家政服务人员培训工作。办好创博会。</w:t>
            </w:r>
          </w:p>
        </w:tc>
        <w:tc>
          <w:tcPr>
            <w:tcW w:w="4820" w:type="dxa"/>
            <w:vAlign w:val="center"/>
          </w:tcPr>
          <w:p>
            <w:pPr>
              <w:ind w:firstLine="420" w:firstLineChars="200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1.全年新增城镇就业10.7万人，城镇失业人员再就业1.6万人，困难人员再就业0.5万人，城镇登记失业率为1.81%。</w:t>
            </w:r>
          </w:p>
          <w:p>
            <w:pPr>
              <w:ind w:left="420" w:leftChars="200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2.创业担保贷款发放2.08亿</w:t>
            </w:r>
          </w:p>
          <w:p>
            <w:pPr>
              <w:ind w:firstLine="420" w:firstLineChars="200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3.在5家经济型连锁酒店挂牌成立大学生驿站。</w:t>
            </w:r>
          </w:p>
          <w:p>
            <w:pPr>
              <w:ind w:firstLine="420" w:firstLineChars="200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4.建成就业创业训练中心、家政市场大学生创业工坊，认定永嘉、瓯海大学生创业园等7家创业孵化示范基地。</w:t>
            </w:r>
          </w:p>
          <w:p>
            <w:pPr>
              <w:ind w:firstLine="420" w:firstLineChars="200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5.全年培训家政人员8612人。</w:t>
            </w:r>
          </w:p>
          <w:p>
            <w:pPr>
              <w:ind w:firstLine="420" w:firstLineChars="200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6.创博会吸引7.5万人次观展，达成合作意向472个，成交额达3.5亿元。</w:t>
            </w:r>
          </w:p>
          <w:p>
            <w:pPr>
              <w:ind w:firstLine="420" w:firstLineChars="200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7.外出招聘33场次，达成意向1761人。新增见习和实训基地12家，全年接收实习生445名；开展人才</w:t>
            </w:r>
            <w:r>
              <w:rPr>
                <w:rFonts w:hint="eastAsia" w:ascii="华文仿宋" w:hAnsi="华文仿宋" w:eastAsia="华文仿宋"/>
                <w:color w:val="000000" w:themeColor="text1"/>
                <w:szCs w:val="21"/>
              </w:rPr>
              <w:t>服务进校园活动，累计服务高校毕业生</w:t>
            </w: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1.85人次。新增在温就业大学生</w:t>
            </w:r>
            <w:r>
              <w:rPr>
                <w:rFonts w:hint="eastAsia" w:ascii="华文仿宋" w:hAnsi="华文仿宋" w:eastAsia="华文仿宋"/>
                <w:color w:val="000000" w:themeColor="text1"/>
                <w:szCs w:val="21"/>
              </w:rPr>
              <w:t>3.8</w:t>
            </w: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万人。</w:t>
            </w:r>
          </w:p>
        </w:tc>
        <w:tc>
          <w:tcPr>
            <w:tcW w:w="1886" w:type="dxa"/>
          </w:tcPr>
          <w:p>
            <w:pPr>
              <w:pStyle w:val="9"/>
              <w:ind w:firstLine="0" w:firstLine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9"/>
              <w:ind w:firstLine="0" w:firstLineChars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超预期</w:t>
            </w:r>
          </w:p>
        </w:tc>
        <w:tc>
          <w:tcPr>
            <w:tcW w:w="1025" w:type="dxa"/>
          </w:tcPr>
          <w:p>
            <w:pPr>
              <w:pStyle w:val="9"/>
              <w:ind w:firstLine="0" w:firstLineChars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2713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全面实施全民参保计划，户籍人口基本养老保险参保率达到</w:t>
            </w:r>
            <w:r>
              <w:rPr>
                <w:rFonts w:ascii="黑体" w:hAnsi="黑体" w:eastAsia="黑体"/>
                <w:color w:val="000000" w:themeColor="text1"/>
                <w:szCs w:val="21"/>
              </w:rPr>
              <w:t>90%，基本医疗保险参保率稳定在98%以上。启动长期护理保险制度试点。</w:t>
            </w:r>
          </w:p>
        </w:tc>
        <w:tc>
          <w:tcPr>
            <w:tcW w:w="4820" w:type="dxa"/>
            <w:vAlign w:val="center"/>
          </w:tcPr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1、全年户籍人口基本养老保险参保率为95.16%，基本医疗保险参保率99.4%，超额完成省市下达目标任务。</w:t>
            </w:r>
          </w:p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2、推进长护险信息系统建设，研究制定失能等级评定、协议护理服务机构管理办法等政策文件。《温州市长期护理保险制度试点办法</w:t>
            </w:r>
            <w:bookmarkStart w:id="0" w:name="_GoBack"/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（送审稿）</w:t>
            </w:r>
            <w:bookmarkEnd w:id="0"/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》</w:t>
            </w:r>
            <w:r>
              <w:rPr>
                <w:rFonts w:hint="eastAsia" w:ascii="华文仿宋" w:hAnsi="华文仿宋" w:eastAsia="华文仿宋"/>
                <w:color w:val="000000" w:themeColor="text1"/>
                <w:szCs w:val="21"/>
              </w:rPr>
              <w:t>12月初</w:t>
            </w: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呈送市政府待常务会议审议。</w:t>
            </w:r>
          </w:p>
        </w:tc>
        <w:tc>
          <w:tcPr>
            <w:tcW w:w="1886" w:type="dxa"/>
          </w:tcPr>
          <w:p>
            <w:pPr>
              <w:ind w:firstLine="420" w:firstLineChars="20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9"/>
              <w:ind w:firstLine="0" w:firstLineChars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正常</w:t>
            </w:r>
          </w:p>
        </w:tc>
        <w:tc>
          <w:tcPr>
            <w:tcW w:w="1025" w:type="dxa"/>
          </w:tcPr>
          <w:p>
            <w:pPr>
              <w:pStyle w:val="9"/>
              <w:ind w:firstLine="0" w:firstLineChars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100</w:t>
            </w:r>
            <w:r>
              <w:rPr>
                <w:rFonts w:ascii="黑体" w:hAnsi="黑体" w:eastAsia="黑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:szCs w:val="21"/>
              </w:rPr>
            </w:pPr>
          </w:p>
        </w:tc>
        <w:tc>
          <w:tcPr>
            <w:tcW w:w="2713" w:type="dxa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深化“温州无欠薪”创建行动，着力构建和谐劳动关系。</w:t>
            </w:r>
          </w:p>
        </w:tc>
        <w:tc>
          <w:tcPr>
            <w:tcW w:w="4820" w:type="dxa"/>
            <w:vAlign w:val="center"/>
          </w:tcPr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1.创建工作纳入市政府平安建设“负面清单”考核。</w:t>
            </w:r>
          </w:p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2.5月初印发实施方案，5月10日召开全市创建工作推进会。</w:t>
            </w:r>
          </w:p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3.每月通报全市清欠维稳情况，专项督查在建工程项目49次，赴县（市、区）督导59次。</w:t>
            </w:r>
          </w:p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4.开展农民工工资支付等检查，实施红名单评选活动，全年处置举报投诉案件数、清欠工资总额、涉及劳动者人数同比下降26%、45%和36%。</w:t>
            </w:r>
          </w:p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5.建成省级示范仲裁庭11家，80%以上仲裁场所达到省级示范水平。建成全省首家网络仲裁庭。要素式办案模式改革实现全覆盖，劳动人事争议案件结案率92.8%，调解率80.4%，一裁终</w:t>
            </w:r>
            <w:r>
              <w:rPr>
                <w:rFonts w:hint="eastAsia" w:ascii="华文仿宋" w:hAnsi="华文仿宋" w:eastAsia="华文仿宋"/>
                <w:color w:val="000000" w:themeColor="text1"/>
                <w:szCs w:val="21"/>
              </w:rPr>
              <w:t>局率</w:t>
            </w: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56.5%。</w:t>
            </w:r>
          </w:p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6.三分之一以上县（市、区）达到省政府考核验收标准。</w:t>
            </w:r>
          </w:p>
        </w:tc>
        <w:tc>
          <w:tcPr>
            <w:tcW w:w="1886" w:type="dxa"/>
          </w:tcPr>
          <w:p>
            <w:pPr>
              <w:pStyle w:val="9"/>
              <w:ind w:firstLine="0" w:firstLine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9"/>
              <w:ind w:firstLine="0" w:firstLineChars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超预期</w:t>
            </w:r>
          </w:p>
        </w:tc>
        <w:tc>
          <w:tcPr>
            <w:tcW w:w="1025" w:type="dxa"/>
          </w:tcPr>
          <w:p>
            <w:pPr>
              <w:pStyle w:val="9"/>
              <w:ind w:firstLine="0" w:firstLineChars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100%</w:t>
            </w:r>
          </w:p>
        </w:tc>
      </w:tr>
    </w:tbl>
    <w:p>
      <w:pPr>
        <w:rPr>
          <w:rFonts w:ascii="黑体" w:hAnsi="黑体" w:eastAsia="黑体"/>
          <w:szCs w:val="21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自主申报的重点工作项目</w:t>
      </w:r>
    </w:p>
    <w:tbl>
      <w:tblPr>
        <w:tblStyle w:val="5"/>
        <w:tblW w:w="128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3139"/>
        <w:gridCol w:w="4394"/>
        <w:gridCol w:w="1886"/>
        <w:gridCol w:w="1134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考核项目</w:t>
            </w:r>
          </w:p>
        </w:tc>
        <w:tc>
          <w:tcPr>
            <w:tcW w:w="313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年度任务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ascii="黑体" w:hAnsi="黑体" w:eastAsia="黑体"/>
                <w:color w:val="000000" w:themeColor="text1"/>
                <w:szCs w:val="21"/>
              </w:rPr>
              <w:t>最新进展情况</w:t>
            </w:r>
          </w:p>
        </w:tc>
        <w:tc>
          <w:tcPr>
            <w:tcW w:w="1886" w:type="dxa"/>
          </w:tcPr>
          <w:p>
            <w:pPr>
              <w:pStyle w:val="9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存在问题</w:t>
            </w:r>
          </w:p>
        </w:tc>
        <w:tc>
          <w:tcPr>
            <w:tcW w:w="1134" w:type="dxa"/>
          </w:tcPr>
          <w:p>
            <w:pPr>
              <w:pStyle w:val="9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实施状态</w:t>
            </w:r>
          </w:p>
        </w:tc>
        <w:tc>
          <w:tcPr>
            <w:tcW w:w="1025" w:type="dxa"/>
          </w:tcPr>
          <w:p>
            <w:pPr>
              <w:pStyle w:val="9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推进海外人才交流合作</w:t>
            </w:r>
          </w:p>
        </w:tc>
        <w:tc>
          <w:tcPr>
            <w:tcW w:w="3139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1.开展中国和意大利（温州-都灵）人才交流合作国家级试点，在意大利三大城市（罗马-米兰-都灵）挂牌建立海外人才联络站；筹建中意温州时尚产业创新发展中心；举办第二届全球设计日暨中意（温州）设计交流会（2018年3月）；举办2018年中意(温州)时尚设计人才专场交流会（2018年6月），组织一批意大利时尚设计、时尚管理高技能人才与温州传统服装、鞋业、眼镜产业的领军型企业及温州大学、温州职业技术学院等高校对接洽谈，促进技术人才深度合作，初步建成集跨国人才资源开发、人才与科技项目对接、助推产业创新发展为一体的综合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平台。</w:t>
            </w:r>
          </w:p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2.办好“智汇温州”全球精英创新创业大赛和温州民营企业高层次人才交流大会，围绕我市重点产业，精准务实抓好人才项目的引进对接和跟踪服务。</w:t>
            </w:r>
          </w:p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3.建设温州市留学人员服务中心（温州市高层次人才发展服务中心）。</w:t>
            </w:r>
          </w:p>
        </w:tc>
        <w:tc>
          <w:tcPr>
            <w:tcW w:w="4394" w:type="dxa"/>
            <w:vAlign w:val="center"/>
          </w:tcPr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1、举办鞋服、眼镜等中意人才交流活动12批次，达成意向合作项目115个。设立意大利海外人才工作站6家，挂牌成立中意人力资源产业园、人才交流合作中心，推动中意国际产业合作园、时尚设计人才交流服务中心等建设。支持成立温州大学意大利研究中心、温职院意大利培训中心，促成温州大学与欧洲设计学院签订联合培养双学位办学项目。</w:t>
            </w:r>
          </w:p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2、先后举办北美、欧洲、日本等分站比赛及温州站总决赛，吸引15个国家500多个优质项目参赛，已有6个获奖项目启动落户程序。圆满举办民营企业国际人才项目交流大会，邀请300多名海内外人才来温交流洽谈</w:t>
            </w:r>
            <w:r>
              <w:rPr>
                <w:rFonts w:hint="eastAsia" w:ascii="华文仿宋" w:hAnsi="华文仿宋" w:eastAsia="华文仿宋"/>
                <w:color w:val="000000" w:themeColor="text1"/>
                <w:szCs w:val="21"/>
              </w:rPr>
              <w:t>合作，正式签订人才项目议协</w:t>
            </w: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93个。</w:t>
            </w:r>
          </w:p>
          <w:p>
            <w:pPr>
              <w:ind w:firstLine="42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3、7月市编委批复同意， 11月9日正式挂牌。</w:t>
            </w:r>
          </w:p>
        </w:tc>
        <w:tc>
          <w:tcPr>
            <w:tcW w:w="1886" w:type="dxa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超预期</w:t>
            </w:r>
          </w:p>
        </w:tc>
        <w:tc>
          <w:tcPr>
            <w:tcW w:w="1025" w:type="dxa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建设温州市家庭服务创新创业示范基地暨家庭服务市场</w:t>
            </w:r>
          </w:p>
        </w:tc>
        <w:tc>
          <w:tcPr>
            <w:tcW w:w="3139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通过模式创新集聚市内外优质家庭服务机构，为市民家庭提供保姆、月嫂、保洁、养老护理和其他生活服务各类项目，着力形成我市家庭服务业产品集聚中心、诚信信息追溯管理中心、人力资源供需对接中心、职业技能培训中心、实训体验中心和纠纷投诉处理中心。项目将推行温州市家庭服务业“五个一”安心工程，即一个市场（温州市家庭服务市场）、一个平台（家庭服务从业人员智能信息管理系统）、一张</w:t>
            </w: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E卡（家政人员上门服务卡）、一所大学（温州家庭服务管理学院）、一个家园（家庭服务行业联合工会），着力打造全省首创示范样本。</w:t>
            </w:r>
          </w:p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进度安排：</w:t>
            </w: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2月份，公开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招标市场运营单位；</w:t>
            </w: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3-4月份，公开招商单位入驻并完成市场装修改造；5月份，正式对外营业；6-10月份，成立行业联合工会和家庭服务管理学院。全年通过市场规范化管理和示范性服务，逐步形成家庭服务机构和家庭从业人员的综合信息平台；定期按家庭服务项目和市场行情，公布相对合理的指导价格，及时预警家政行业人力资源供求状况；通过持卡上门服务制度，提高雇主和家庭服务人员之间的信任度；通过执行统一格式的合同，依法理顺家庭服务机构、家庭服务员和雇主三方的权力和义务，有效减少家政行业纠纷矛盾的发生，切实提高群众获得感和满意度。</w:t>
            </w:r>
          </w:p>
        </w:tc>
        <w:tc>
          <w:tcPr>
            <w:tcW w:w="4394" w:type="dxa"/>
            <w:vAlign w:val="center"/>
          </w:tcPr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1.5月18日正式对外营业，全年进场交流市民达9500多人，完成服务订单6931个。新登记求职家政人员1698名，提交公安部门信息审查通过1503名。</w:t>
            </w:r>
          </w:p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2.创新推行家政人员信用档案、持卡上门服务等制度，成立家庭服务市场工会和家庭服务学院，列入全省首创家庭服务业示范样本，在全省家庭服务业现场会作典型交流，获得2019年全省现场会主办权。</w:t>
            </w:r>
          </w:p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3.人社部调研组专题来温调研，省人社厅副厅长金林贵先后三次来温指导，王文序副省长、姚高员市长分别作出批示肯定；江西鄱阳、四川蓬安、陕西安康及省内杭宁台丽等兄弟市县纷纷来温学</w:t>
            </w:r>
            <w:r>
              <w:rPr>
                <w:rFonts w:hint="eastAsia" w:ascii="华文仿宋" w:hAnsi="华文仿宋" w:eastAsia="华文仿宋"/>
                <w:color w:val="000000" w:themeColor="text1"/>
                <w:szCs w:val="21"/>
              </w:rPr>
              <w:t>习，各大媒体广泛关注报道，逐步打响家庭服务“温州模式”品牌。</w:t>
            </w:r>
          </w:p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1886" w:type="dxa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正常</w:t>
            </w:r>
          </w:p>
        </w:tc>
        <w:tc>
          <w:tcPr>
            <w:tcW w:w="1025" w:type="dxa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56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提升人力社保基层服务能力</w:t>
            </w:r>
          </w:p>
        </w:tc>
        <w:tc>
          <w:tcPr>
            <w:tcW w:w="3139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1.全市布设社银合作网点500个，让群众就近办理人力社保业务。4月底完成100个，7月底完成200个，10月底完成300个，年底前全部完成。</w:t>
            </w:r>
          </w:p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2.在全市推广人社全功能自助机，市区投放200台以上，县（市）投放300台以上，进一步强化基层服务能力。争取9月底实现试运行，2018年底完成任务。</w:t>
            </w:r>
          </w:p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3.升级社保市民卡APP，把市民卡以及人力社保热点业务搬上APP，创新“掌上市民卡”“掌上人社”服务模式。5月份上市民卡APP2.0，8月份建成电子社保卡平台，9月份争取实现市民卡“扫码付”试运行。</w:t>
            </w:r>
          </w:p>
        </w:tc>
        <w:tc>
          <w:tcPr>
            <w:tcW w:w="4394" w:type="dxa"/>
            <w:vAlign w:val="center"/>
          </w:tcPr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1.全市布设社银合作网点526家，超额完成全年目标任务，累计办理人社业务17.46万笔。</w:t>
            </w:r>
          </w:p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2.协同市大数据中心、联通公司完成500台全功能自助机投放任务。</w:t>
            </w:r>
          </w:p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3.社保市民卡APP功能应用涵盖全市人力社保、医疗卫生、智慧政务、公共交通、旅游惠民等领域60项服务，实现养老待遇资格认证、医保家庭共济、家政服务等32项人社业务“掌上办”。5月上线社保市民卡APP2.0，8月建成电子社保卡平台并投入试运行。</w:t>
            </w:r>
          </w:p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1886" w:type="dxa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正常</w:t>
            </w:r>
          </w:p>
        </w:tc>
        <w:tc>
          <w:tcPr>
            <w:tcW w:w="1025" w:type="dxa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加大高层次、高技能人才培养力度</w:t>
            </w:r>
          </w:p>
        </w:tc>
        <w:tc>
          <w:tcPr>
            <w:tcW w:w="3139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1.全面推行中小学校教师中、初级专业技术职务自主评聘改革。转变政府职能，改革过去由教育主管部门统一组织评审的方式，把职称评聘权下放给用人单位，进一步体现用人单位的主体地位，落实以业绩、能力、贡献为指标的评价导向。</w:t>
            </w:r>
          </w:p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2.开展职称外延延伸专业评审改革。根据行业的职业属性特点和发展实际情况，对其现行的专业技术资格评价条件、标准进行修订改造，突出业绩和能力导向，建立可评估、可计算，更加细化的量化指标赋分体系。将标志性业绩和成果作为量化评价体系的主要权重，建立特别优秀人才的破格和越级晋升制度。进一步规范评审程序，完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善专家库建设，强化评审纪律，提高评审质量。</w:t>
            </w:r>
          </w:p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3.扎实推进“瓯越工匠”培育三年行动计划。全面开展温州市首届“瓯越工匠”杯职业技能大赛，全年新建高技能人才公共实训基地4家、技能大师工作室10家,培养高技能人才2万人以上。</w:t>
            </w:r>
          </w:p>
        </w:tc>
        <w:tc>
          <w:tcPr>
            <w:tcW w:w="4394" w:type="dxa"/>
            <w:vAlign w:val="center"/>
          </w:tcPr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1.率全省之先实施中小学校教师中、初级专技职务自主评聘改革，全市72家单位参加试点工作，全年累计评聘教师中、初级专业技术职务321人。</w:t>
            </w:r>
          </w:p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2.制定印发塑料加工成型、包装、经营管理等12个外延专业新的评价办法，全年评定企业专业技术人员299人。全国专技工作座谈会在温召开。</w:t>
            </w:r>
          </w:p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3.成功举办温州市首届“瓯越工匠”杯职业技能大赛，技能竞赛项目达到122项，4800多人参加比赛。全年新建市级高技能人才公共实训基地4家、市级技能大师工作室10家，培养高技能人才20142人。</w:t>
            </w:r>
          </w:p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1886" w:type="dxa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正常</w:t>
            </w:r>
          </w:p>
        </w:tc>
        <w:tc>
          <w:tcPr>
            <w:tcW w:w="1025" w:type="dxa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规范完善人事管理工作</w:t>
            </w:r>
          </w:p>
        </w:tc>
        <w:tc>
          <w:tcPr>
            <w:tcW w:w="3139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1.推进欠发达地区异地考录公务员管理服务工作改革，提高欠发达地区户籍公务员招考比例；严格遴选，规范“三区两市”公务员选调、商调工作；试行欠发达地区公务员调离积分制管理，6月底前有关县（区）出台公务员调离积分制管理办法。</w:t>
            </w:r>
          </w:p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2.完善我市人事考试管理制度和联动协作机制，推进人事考试安全风险防控保障体系建设，切实提升平安考录水平。</w:t>
            </w:r>
          </w:p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3.实施公务员“学法用法三年轮训行动”计划，进一步完善公务员考核工作，组织实施《国家功勋荣誉表彰条例》，清理规范创建示范活动。</w:t>
            </w:r>
          </w:p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4.强化事业单位综合人事管理，进一步加强人员聘用和岗位管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理，健全农林、文化等行业岗位结构比例调控机制，完善专技三级岗管理；探索开展事业单位领导干部任职培训和新进人员培训。</w:t>
            </w:r>
          </w:p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5.做好军转安置工作，探索军转干部进高校专项培训工作；加强军队自主择业干部服务管理，探索建立自主择业相关配套政策，提高自主择业安置率；进一步完善随军家属就业安置措施，适当提高社会化就业安置比例，举办军属专场招聘会，努力提高各方满意度。</w:t>
            </w:r>
          </w:p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1.欠发达地区户籍人员招考比例提高至60％；洞头、文成、泰顺等地出台人员流动积分制管理办法。</w:t>
            </w:r>
          </w:p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2.圆满完成人事考试51场次，服务考生9.58万人次。</w:t>
            </w:r>
          </w:p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3.举办学法用法培训班89期，记个人三等功232人次，报批审核表彰奖励、通报表扬活动51项，拟撤销、保留、合并创建示范项目分别为109个、260个、18个。</w:t>
            </w:r>
          </w:p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4.全市公开招录4747人，完成聘期考核150多家，调整提高农林等行业专技岗中高级结构比例。率全省之先举办事业单位科级干部培训班1期，举办新进人员培训班2期。</w:t>
            </w:r>
          </w:p>
          <w:p>
            <w:pPr>
              <w:ind w:firstLine="420" w:firstLineChars="200"/>
              <w:jc w:val="left"/>
              <w:rPr>
                <w:rFonts w:ascii="华文仿宋" w:hAnsi="华文仿宋" w:eastAsia="华文仿宋"/>
                <w:color w:val="000000" w:themeColor="text1"/>
                <w:szCs w:val="21"/>
              </w:rPr>
            </w:pPr>
            <w:r>
              <w:rPr>
                <w:rFonts w:ascii="华文仿宋" w:hAnsi="华文仿宋" w:eastAsia="华文仿宋"/>
                <w:color w:val="000000" w:themeColor="text1"/>
                <w:szCs w:val="21"/>
              </w:rPr>
              <w:t>5.圆满完成军转安置任务，进高校专项培训29人，自主择业达到10人，安置随军家属83人，其中货币安置33人。</w:t>
            </w:r>
          </w:p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1886" w:type="dxa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正常</w:t>
            </w:r>
          </w:p>
        </w:tc>
        <w:tc>
          <w:tcPr>
            <w:tcW w:w="1025" w:type="dxa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</w:rPr>
              <w:t>100%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38D"/>
    <w:rsid w:val="0003766F"/>
    <w:rsid w:val="00066984"/>
    <w:rsid w:val="000830FB"/>
    <w:rsid w:val="00092398"/>
    <w:rsid w:val="00136140"/>
    <w:rsid w:val="00142F7E"/>
    <w:rsid w:val="001443FB"/>
    <w:rsid w:val="00155989"/>
    <w:rsid w:val="00164AE8"/>
    <w:rsid w:val="0019244E"/>
    <w:rsid w:val="001E01B7"/>
    <w:rsid w:val="00205DC4"/>
    <w:rsid w:val="00205E27"/>
    <w:rsid w:val="00256A20"/>
    <w:rsid w:val="00260054"/>
    <w:rsid w:val="002C361D"/>
    <w:rsid w:val="002E0993"/>
    <w:rsid w:val="00337705"/>
    <w:rsid w:val="0034007E"/>
    <w:rsid w:val="0035185A"/>
    <w:rsid w:val="00363681"/>
    <w:rsid w:val="003C4393"/>
    <w:rsid w:val="003C70F3"/>
    <w:rsid w:val="003D6397"/>
    <w:rsid w:val="004135F5"/>
    <w:rsid w:val="004359FC"/>
    <w:rsid w:val="00451370"/>
    <w:rsid w:val="004A3D8B"/>
    <w:rsid w:val="004B7421"/>
    <w:rsid w:val="004C2737"/>
    <w:rsid w:val="004E7AA1"/>
    <w:rsid w:val="004F5859"/>
    <w:rsid w:val="00524838"/>
    <w:rsid w:val="00547F0D"/>
    <w:rsid w:val="00551E6E"/>
    <w:rsid w:val="00557C6D"/>
    <w:rsid w:val="00583DF6"/>
    <w:rsid w:val="005B41A0"/>
    <w:rsid w:val="005C4701"/>
    <w:rsid w:val="005C7779"/>
    <w:rsid w:val="005E33D6"/>
    <w:rsid w:val="00611E10"/>
    <w:rsid w:val="00652651"/>
    <w:rsid w:val="006603D8"/>
    <w:rsid w:val="00663678"/>
    <w:rsid w:val="006645AB"/>
    <w:rsid w:val="00674390"/>
    <w:rsid w:val="006960DE"/>
    <w:rsid w:val="006A25C5"/>
    <w:rsid w:val="006A7D2F"/>
    <w:rsid w:val="006F3807"/>
    <w:rsid w:val="00717D72"/>
    <w:rsid w:val="0074238D"/>
    <w:rsid w:val="00745BA9"/>
    <w:rsid w:val="007663E3"/>
    <w:rsid w:val="00776B19"/>
    <w:rsid w:val="00794425"/>
    <w:rsid w:val="007A358F"/>
    <w:rsid w:val="007F59CB"/>
    <w:rsid w:val="008056BE"/>
    <w:rsid w:val="00813AE1"/>
    <w:rsid w:val="0082634C"/>
    <w:rsid w:val="0083531F"/>
    <w:rsid w:val="008362CE"/>
    <w:rsid w:val="00836EA6"/>
    <w:rsid w:val="00841180"/>
    <w:rsid w:val="00857EC6"/>
    <w:rsid w:val="0087303C"/>
    <w:rsid w:val="008C1871"/>
    <w:rsid w:val="008C3181"/>
    <w:rsid w:val="008E4685"/>
    <w:rsid w:val="008E5872"/>
    <w:rsid w:val="008F1F43"/>
    <w:rsid w:val="0092395D"/>
    <w:rsid w:val="0094211E"/>
    <w:rsid w:val="00951C25"/>
    <w:rsid w:val="00953805"/>
    <w:rsid w:val="009A42C2"/>
    <w:rsid w:val="009D3821"/>
    <w:rsid w:val="009D6A01"/>
    <w:rsid w:val="00A257A2"/>
    <w:rsid w:val="00A37809"/>
    <w:rsid w:val="00A5658B"/>
    <w:rsid w:val="00A57A1E"/>
    <w:rsid w:val="00A67F5D"/>
    <w:rsid w:val="00A76F0D"/>
    <w:rsid w:val="00A82DB4"/>
    <w:rsid w:val="00AB2B06"/>
    <w:rsid w:val="00AE5E88"/>
    <w:rsid w:val="00AE7AE6"/>
    <w:rsid w:val="00B072A4"/>
    <w:rsid w:val="00B4780B"/>
    <w:rsid w:val="00B93CD9"/>
    <w:rsid w:val="00BB6EB7"/>
    <w:rsid w:val="00BE0781"/>
    <w:rsid w:val="00BE6321"/>
    <w:rsid w:val="00C153AD"/>
    <w:rsid w:val="00C300DC"/>
    <w:rsid w:val="00C4727F"/>
    <w:rsid w:val="00CA05D4"/>
    <w:rsid w:val="00CE534B"/>
    <w:rsid w:val="00D062C0"/>
    <w:rsid w:val="00D16FC2"/>
    <w:rsid w:val="00D52836"/>
    <w:rsid w:val="00DA1E6F"/>
    <w:rsid w:val="00DA363C"/>
    <w:rsid w:val="00DB77BC"/>
    <w:rsid w:val="00ED3153"/>
    <w:rsid w:val="00ED39F0"/>
    <w:rsid w:val="00ED7EA8"/>
    <w:rsid w:val="00EF3E67"/>
    <w:rsid w:val="00F0585D"/>
    <w:rsid w:val="00F354CB"/>
    <w:rsid w:val="00F758BD"/>
    <w:rsid w:val="00F81A16"/>
    <w:rsid w:val="00FA1D8C"/>
    <w:rsid w:val="00FB0CC5"/>
    <w:rsid w:val="00FC741F"/>
    <w:rsid w:val="6DCAD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2177</Words>
  <Characters>2199</Characters>
  <Lines>84</Lines>
  <Paragraphs>18</Paragraphs>
  <TotalTime>0</TotalTime>
  <ScaleCrop>false</ScaleCrop>
  <LinksUpToDate>false</LinksUpToDate>
  <CharactersWithSpaces>4358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2019-02-28T11:41:00Z</dcterms:created>
  <dc:creator>Dragon2017</dc:creator>
  <cp:lastModifiedBy>greatwall</cp:lastModifiedBy>
  <cp:lastPrinted>2019-01-02T08:30:00Z</cp:lastPrinted>
  <dcterms:modified xsi:type="dcterms:W3CDTF">2022-05-30T10:34:03Z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