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关于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拟发放用人单位吸纳就业</w:t>
      </w:r>
      <w:r>
        <w:rPr>
          <w:rFonts w:hint="eastAsia" w:ascii="仿宋" w:hAnsi="仿宋" w:eastAsia="仿宋"/>
          <w:b/>
          <w:bCs/>
          <w:sz w:val="32"/>
          <w:szCs w:val="32"/>
        </w:rPr>
        <w:t>社保补贴的公示</w:t>
      </w:r>
    </w:p>
    <w:p/>
    <w:p/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</w:pPr>
      <w: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eastAsia="zh-CN"/>
        </w:rPr>
        <w:t>拟向温州市军地电器贸易有限公司发放用人单位吸纳就业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社保补贴，补贴人员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人，补贴金额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9992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元（具体见附表）。根据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《温州市人民政府关于做好全市新时期就业创业工作的实施意见》（温政发（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21号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规定，现予公示。公示期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日至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 xml:space="preserve"> 公示举报电话：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4A4B55"/>
          <w:spacing w:val="0"/>
          <w:sz w:val="32"/>
          <w:szCs w:val="32"/>
          <w:u w:val="none"/>
          <w:shd w:val="clear" w:fill="FFFFFF"/>
        </w:rPr>
        <w:t>市本级：89090323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                     温州市人力资源和社会保障局</w:t>
      </w: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 xml:space="preserve">                                2020年9月15日</w:t>
      </w: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left="6720" w:hanging="6720" w:hangingChars="21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\l "a8" </w:instrText>
      </w:r>
      <w:r>
        <w:fldChar w:fldCharType="separate"/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用人单位吸纳就业社保补贴人员名册</w:t>
      </w:r>
      <w:r>
        <w:rPr>
          <w:rFonts w:ascii="方正小标宋简体" w:hAnsi="宋体" w:eastAsia="方正小标宋简体"/>
          <w:color w:val="000000"/>
          <w:sz w:val="44"/>
          <w:szCs w:val="44"/>
        </w:rPr>
        <w:fldChar w:fldCharType="end"/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rPr>
          <w:rFonts w:ascii="仿宋_GB2312" w:hAnsi="仿宋" w:eastAsia="仿宋_GB2312" w:cs="仿宋"/>
          <w:color w:val="000000"/>
          <w:sz w:val="24"/>
        </w:rPr>
      </w:pPr>
      <w:r>
        <w:rPr>
          <w:rFonts w:hint="eastAsia" w:ascii="仿宋_GB2312" w:hAnsi="仿宋" w:eastAsia="仿宋_GB2312" w:cs="仿宋"/>
          <w:color w:val="000000"/>
          <w:sz w:val="24"/>
        </w:rPr>
        <w:t xml:space="preserve">       </w:t>
      </w:r>
      <w:r>
        <w:rPr>
          <w:rFonts w:hint="eastAsia" w:ascii="仿宋_GB2312" w:hAnsi="仿宋" w:eastAsia="仿宋_GB2312" w:cs="仿宋"/>
          <w:color w:val="000000"/>
          <w:sz w:val="24"/>
          <w:lang w:eastAsia="zh-CN"/>
        </w:rPr>
        <w:t>单位：</w:t>
      </w:r>
      <w:r>
        <w:rPr>
          <w:rFonts w:hint="eastAsia" w:ascii="仿宋_GB2312" w:hAnsi="仿宋" w:eastAsia="仿宋_GB2312" w:cs="仿宋"/>
          <w:color w:val="000000"/>
          <w:sz w:val="24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lang w:eastAsia="zh-CN"/>
        </w:rPr>
        <w:t>温州市军地电器贸易有限公司</w:t>
      </w:r>
      <w:r>
        <w:rPr>
          <w:rFonts w:hint="eastAsia" w:ascii="仿宋_GB2312" w:hAnsi="仿宋" w:eastAsia="仿宋_GB2312" w:cs="仿宋"/>
          <w:color w:val="000000"/>
          <w:sz w:val="24"/>
        </w:rPr>
        <w:t xml:space="preserve">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0"/>
        <w:gridCol w:w="1857"/>
        <w:gridCol w:w="731"/>
        <w:gridCol w:w="862"/>
        <w:gridCol w:w="2044"/>
        <w:gridCol w:w="1909"/>
        <w:gridCol w:w="1780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姓名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类别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时间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劳动合同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起止日期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核定享受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起止日期</w:t>
            </w:r>
          </w:p>
        </w:tc>
        <w:tc>
          <w:tcPr>
            <w:tcW w:w="17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核定补贴金额</w:t>
            </w:r>
          </w:p>
        </w:tc>
        <w:tc>
          <w:tcPr>
            <w:tcW w:w="168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备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曹含菡</w:t>
            </w:r>
          </w:p>
        </w:tc>
        <w:tc>
          <w:tcPr>
            <w:tcW w:w="18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毕业2年内的高校毕业生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本科</w:t>
            </w:r>
          </w:p>
        </w:tc>
        <w:tc>
          <w:tcPr>
            <w:tcW w:w="8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201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.6</w:t>
            </w:r>
          </w:p>
        </w:tc>
        <w:tc>
          <w:tcPr>
            <w:tcW w:w="20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2018.11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-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2018.11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Cs w:val="21"/>
                <w:lang w:val="en-US" w:eastAsia="zh-CN"/>
              </w:rPr>
              <w:t>2019.10</w:t>
            </w:r>
          </w:p>
        </w:tc>
        <w:tc>
          <w:tcPr>
            <w:tcW w:w="1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9992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3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合计</w:t>
            </w:r>
          </w:p>
        </w:tc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9992</w:t>
            </w:r>
          </w:p>
        </w:tc>
        <w:tc>
          <w:tcPr>
            <w:tcW w:w="168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bookmarkEnd w:id="0"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7C32"/>
    <w:rsid w:val="04BF7371"/>
    <w:rsid w:val="07E35068"/>
    <w:rsid w:val="187C0259"/>
    <w:rsid w:val="29EA4459"/>
    <w:rsid w:val="34A64496"/>
    <w:rsid w:val="371225CD"/>
    <w:rsid w:val="48C678D3"/>
    <w:rsid w:val="59D6526E"/>
    <w:rsid w:val="5D061B37"/>
    <w:rsid w:val="672E2F69"/>
    <w:rsid w:val="738333B5"/>
    <w:rsid w:val="74327C32"/>
    <w:rsid w:val="7BD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2019-03-26T02:04:00Z</dcterms:created>
  <dc:creator>木子李</dc:creator>
  <cp:lastModifiedBy>Helen-Chen</cp:lastModifiedBy>
  <cp:lastPrinted>2019-03-26T02:13:00Z</cp:lastPrinted>
  <dcterms:modified xsi:type="dcterms:W3CDTF">2020-09-15T08:35:02Z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